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D1D6" w14:textId="77777777" w:rsidR="00C0623B" w:rsidRPr="00DA1A29" w:rsidRDefault="00C0623B" w:rsidP="00C0623B">
      <w:pPr>
        <w:pStyle w:val="TEXTONORMAL"/>
        <w:spacing w:line="280" w:lineRule="exact"/>
        <w:jc w:val="center"/>
        <w:rPr>
          <w:rFonts w:ascii="Noto Sans ExtraBold" w:hAnsi="Noto Sans ExtraBold" w:cs="Noto Sans ExtraBold"/>
          <w:sz w:val="24"/>
        </w:rPr>
      </w:pPr>
      <w:r w:rsidRPr="00DA1A29">
        <w:rPr>
          <w:rFonts w:ascii="Noto Sans ExtraBold" w:hAnsi="Noto Sans ExtraBold" w:cs="Noto Sans ExtraBold"/>
          <w:sz w:val="24"/>
        </w:rPr>
        <w:t>INSTITUTO MEXICANO DEL SEGURO SOCIAL</w:t>
      </w:r>
    </w:p>
    <w:p w14:paraId="7AAEACDB" w14:textId="77777777" w:rsidR="00F256B9" w:rsidRDefault="0078631D" w:rsidP="0078631D">
      <w:pPr>
        <w:pStyle w:val="TEXTONORMAL"/>
        <w:spacing w:line="280" w:lineRule="exact"/>
        <w:jc w:val="center"/>
        <w:rPr>
          <w:rFonts w:ascii="Noto Sans ExtraBold" w:hAnsi="Noto Sans ExtraBold" w:cs="Noto Sans ExtraBold"/>
          <w:sz w:val="24"/>
        </w:rPr>
      </w:pPr>
      <w:r w:rsidRPr="00DA1A29">
        <w:rPr>
          <w:rFonts w:ascii="Noto Sans ExtraBold" w:hAnsi="Noto Sans ExtraBold" w:cs="Noto Sans ExtraBold"/>
          <w:sz w:val="24"/>
        </w:rPr>
        <w:t>NOTAS A LOS ESTADOS FINANCIEROS</w:t>
      </w:r>
    </w:p>
    <w:p w14:paraId="475EB43C" w14:textId="77777777" w:rsidR="00F25DE0" w:rsidRPr="00DA1A29" w:rsidRDefault="00F25DE0" w:rsidP="0078631D">
      <w:pPr>
        <w:pStyle w:val="TEXTONORMAL"/>
        <w:spacing w:line="280" w:lineRule="exact"/>
        <w:jc w:val="center"/>
        <w:rPr>
          <w:rFonts w:ascii="Noto Sans ExtraBold" w:hAnsi="Noto Sans ExtraBold" w:cs="Noto Sans ExtraBold"/>
          <w:sz w:val="24"/>
        </w:rPr>
      </w:pPr>
    </w:p>
    <w:p w14:paraId="4117ED40" w14:textId="77777777" w:rsidR="0002360D" w:rsidRDefault="0002360D" w:rsidP="0002360D">
      <w:pPr>
        <w:pStyle w:val="TEXTONORMAL"/>
        <w:numPr>
          <w:ilvl w:val="0"/>
          <w:numId w:val="5"/>
        </w:numPr>
        <w:spacing w:before="240"/>
        <w:ind w:left="357" w:hanging="357"/>
        <w:jc w:val="left"/>
        <w:rPr>
          <w:rFonts w:cs="Noto Sans"/>
          <w:b/>
          <w:sz w:val="22"/>
        </w:rPr>
      </w:pPr>
      <w:r w:rsidRPr="0078631D">
        <w:rPr>
          <w:rFonts w:cs="Noto Sans"/>
          <w:b/>
          <w:sz w:val="22"/>
        </w:rPr>
        <w:t xml:space="preserve">NOTAS DE </w:t>
      </w:r>
      <w:r>
        <w:rPr>
          <w:rFonts w:cs="Noto Sans"/>
          <w:b/>
          <w:sz w:val="22"/>
        </w:rPr>
        <w:t>GESTIÓN ADMINISTRATIVA</w:t>
      </w:r>
    </w:p>
    <w:p w14:paraId="7D5B8EA9" w14:textId="77777777" w:rsidR="00EE1299" w:rsidRDefault="00EE1299" w:rsidP="00EE1299">
      <w:pPr>
        <w:pStyle w:val="TEXTONORMAL"/>
        <w:spacing w:before="240"/>
        <w:ind w:left="357"/>
        <w:jc w:val="left"/>
        <w:rPr>
          <w:rFonts w:cs="Noto Sans"/>
          <w:b/>
          <w:sz w:val="22"/>
        </w:rPr>
      </w:pPr>
    </w:p>
    <w:p w14:paraId="4DF576E8" w14:textId="331B19B7" w:rsidR="0002360D" w:rsidRDefault="00CA48C0" w:rsidP="00D06BE8">
      <w:pPr>
        <w:pStyle w:val="TEXTONORMAL"/>
        <w:numPr>
          <w:ilvl w:val="0"/>
          <w:numId w:val="36"/>
        </w:numPr>
        <w:ind w:left="357" w:hanging="357"/>
      </w:pPr>
      <w:r>
        <w:t xml:space="preserve">1. </w:t>
      </w:r>
      <w:r w:rsidR="0002360D" w:rsidRPr="00293F88">
        <w:t>Autorización e Historia</w:t>
      </w:r>
    </w:p>
    <w:p w14:paraId="77ECEB0A" w14:textId="77777777" w:rsidR="00EE1299" w:rsidRDefault="00EE1299" w:rsidP="00EE1299">
      <w:pPr>
        <w:pStyle w:val="TEXTONORMAL"/>
        <w:ind w:left="357"/>
      </w:pPr>
    </w:p>
    <w:p w14:paraId="06500FED" w14:textId="5C6B9769" w:rsidR="0002360D" w:rsidRDefault="00CA48C0" w:rsidP="00D461EC">
      <w:pPr>
        <w:pStyle w:val="TEXTONORMAL"/>
        <w:numPr>
          <w:ilvl w:val="0"/>
          <w:numId w:val="30"/>
        </w:numPr>
        <w:ind w:left="714" w:hanging="357"/>
      </w:pPr>
      <w:r>
        <w:t xml:space="preserve">a) </w:t>
      </w:r>
      <w:r w:rsidR="0002360D" w:rsidRPr="00293F88">
        <w:t>Fecha de creación del ente público</w:t>
      </w:r>
    </w:p>
    <w:p w14:paraId="487FB224" w14:textId="77777777" w:rsidR="0002360D" w:rsidRDefault="0002360D" w:rsidP="0002360D">
      <w:pPr>
        <w:pStyle w:val="TEXTONORMAL"/>
      </w:pPr>
      <w:r w:rsidRPr="00293F88">
        <w:t xml:space="preserve">Por Decreto Presidencial del 31 de diciembre de 1942, publicado en el DOF del 19 de enero de 1943, se constituyó el Instituto Mexicano del Seguro Social </w:t>
      </w:r>
      <w:r w:rsidRPr="00655E4E">
        <w:rPr>
          <w:rFonts w:cs="Noto Sans"/>
          <w:szCs w:val="18"/>
        </w:rPr>
        <w:t>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14:paraId="2774C840" w14:textId="77777777" w:rsidR="0002360D" w:rsidRDefault="0002360D" w:rsidP="00D06BE8">
      <w:pPr>
        <w:pStyle w:val="TEXTONORMAL"/>
        <w:numPr>
          <w:ilvl w:val="0"/>
          <w:numId w:val="37"/>
        </w:numPr>
        <w:rPr>
          <w:bCs/>
        </w:rPr>
      </w:pPr>
      <w:r w:rsidRPr="00293F88">
        <w:rPr>
          <w:bCs/>
        </w:rPr>
        <w:t xml:space="preserve">Negocio en Marcha </w:t>
      </w:r>
    </w:p>
    <w:p w14:paraId="46330CF3" w14:textId="7399826C" w:rsidR="0002360D" w:rsidRPr="00DA1A29" w:rsidRDefault="0002360D" w:rsidP="0002360D">
      <w:pPr>
        <w:pStyle w:val="TEXTONORMAL"/>
      </w:pPr>
      <w:r w:rsidRPr="00DA1A29">
        <w:t>Al no existir modificación al Decreto Presidencial donde se constituyó el Instituto, en las demás leyes y reglamentos que lo rigen, se presume que el Instituto cumple con el postulado básico de negocio en marcha. Cabe destacar que, al ser un organismo tripartito, parte importante de sus recursos provienen de las aportaciones del Gobierno Federal establecidas en el PEF de cada ejercicio fiscal</w:t>
      </w:r>
      <w:r w:rsidR="00EE1299">
        <w:t>.</w:t>
      </w:r>
    </w:p>
    <w:p w14:paraId="2F84ADFB" w14:textId="282639BD" w:rsidR="0002360D" w:rsidRPr="00DA1A29" w:rsidRDefault="0002360D" w:rsidP="0002360D">
      <w:pPr>
        <w:pStyle w:val="TEXTONORMAL"/>
      </w:pPr>
      <w:r w:rsidRPr="00DA1A29">
        <w:t xml:space="preserve">El Instituto Mexicano del Seguro Social es una de las principales instituciones de seguridad social del Estado Mexicano, por lo que su objeto social y sus actividades están centradas principalmente en la atención médica y seguridad social, mismas que </w:t>
      </w:r>
      <w:r w:rsidR="00EE1299">
        <w:t xml:space="preserve">a </w:t>
      </w:r>
      <w:r w:rsidR="002319CE">
        <w:t>junio</w:t>
      </w:r>
      <w:r w:rsidR="00EE1299">
        <w:t xml:space="preserve"> de </w:t>
      </w:r>
      <w:r w:rsidRPr="00DA1A29">
        <w:t>202</w:t>
      </w:r>
      <w:r w:rsidR="00EE1299">
        <w:t>5</w:t>
      </w:r>
      <w:r w:rsidRPr="00DA1A29">
        <w:t xml:space="preserve"> no presentaron cambios sustantivos que pudieran afectar el negocio en marcha.</w:t>
      </w:r>
      <w:r w:rsidR="009D6966">
        <w:tab/>
      </w:r>
    </w:p>
    <w:p w14:paraId="101338A6" w14:textId="72CDB7B8" w:rsidR="0002360D" w:rsidRDefault="00D264DA" w:rsidP="00D06BE8">
      <w:pPr>
        <w:pStyle w:val="TEXTONORMAL"/>
        <w:numPr>
          <w:ilvl w:val="0"/>
          <w:numId w:val="37"/>
        </w:numPr>
        <w:rPr>
          <w:bCs/>
        </w:rPr>
      </w:pPr>
      <w:r>
        <w:rPr>
          <w:bCs/>
        </w:rPr>
        <w:t xml:space="preserve">b) </w:t>
      </w:r>
      <w:r w:rsidR="0002360D" w:rsidRPr="00EC2DBF">
        <w:rPr>
          <w:bCs/>
        </w:rPr>
        <w:t>Principales cambios en su estructura</w:t>
      </w:r>
    </w:p>
    <w:p w14:paraId="4C70F033" w14:textId="77777777" w:rsidR="0002360D" w:rsidRDefault="0002360D" w:rsidP="0002360D">
      <w:pPr>
        <w:pStyle w:val="TEXTONORMAL"/>
        <w:rPr>
          <w:bCs/>
        </w:rPr>
      </w:pPr>
      <w:r w:rsidRPr="00EC2DBF">
        <w:rPr>
          <w:bCs/>
        </w:rPr>
        <w:t>En el año 2024 las principales modificaciones a la estructura orgánica del Instituto son las siguientes:</w:t>
      </w:r>
    </w:p>
    <w:p w14:paraId="23BBC1B3" w14:textId="77777777" w:rsidR="0002360D" w:rsidRPr="00EC2DBF" w:rsidRDefault="0002360D" w:rsidP="00D06BE8">
      <w:pPr>
        <w:pStyle w:val="TEXTONORMAL"/>
        <w:numPr>
          <w:ilvl w:val="0"/>
          <w:numId w:val="38"/>
        </w:numPr>
        <w:ind w:left="998" w:hanging="284"/>
        <w:rPr>
          <w:bCs/>
        </w:rPr>
      </w:pPr>
      <w:r w:rsidRPr="00EC2DBF">
        <w:rPr>
          <w:bCs/>
        </w:rPr>
        <w:t>Con vigencia a partir del 01 de abril de 2024, se modificó la estructura orgánica de la Dirección de Innovación y Desarrollo Tecnológica (DIDT), la cual consideró la creación de la Unidad de Ingeniería Tecnológica Institucional (UITI), así como la Conversión de la Coordinación Técnica de Administración de Ciclo de Vida Aplicativo de Sistemas Digitales a Coordinación de Atención a la Continuidad Operativa de Plataformas Aplicativas, adscrita a la UITI, se crearon 7 Jefaturas de División, así como cambios de denominación y reubicación de áreas, mismas que estarán adscritas a los diversos tramos de control de la DIDT.</w:t>
      </w:r>
    </w:p>
    <w:p w14:paraId="7502BC74" w14:textId="77777777" w:rsidR="0002360D" w:rsidRPr="00EC2DBF" w:rsidRDefault="0002360D" w:rsidP="00D06BE8">
      <w:pPr>
        <w:pStyle w:val="TEXTONORMAL"/>
        <w:numPr>
          <w:ilvl w:val="0"/>
          <w:numId w:val="38"/>
        </w:numPr>
        <w:ind w:left="998" w:hanging="284"/>
        <w:rPr>
          <w:bCs/>
        </w:rPr>
      </w:pPr>
      <w:r w:rsidRPr="00EC2DBF">
        <w:rPr>
          <w:bCs/>
        </w:rPr>
        <w:t>Con vigencia a partir del 01 de mayo de 2024, se modificó la estructura orgánica de la Dirección General, la cual consideró la creación del Órgano de Operación Administrativa Desconcentrada genérico “Centro de Atención Inmediata para Casos Especiales (CAICE)” en la Ciudad de Hermosillo, Sonora.</w:t>
      </w:r>
    </w:p>
    <w:p w14:paraId="1C919AA6" w14:textId="3D77F171" w:rsidR="0002360D" w:rsidRDefault="00D264DA" w:rsidP="00D06BE8">
      <w:pPr>
        <w:pStyle w:val="TEXTONORMAL"/>
        <w:numPr>
          <w:ilvl w:val="0"/>
          <w:numId w:val="39"/>
        </w:numPr>
        <w:ind w:left="357" w:hanging="357"/>
        <w:rPr>
          <w:rFonts w:cs="Noto Sans"/>
        </w:rPr>
      </w:pPr>
      <w:r>
        <w:rPr>
          <w:rFonts w:cs="Noto Sans"/>
        </w:rPr>
        <w:lastRenderedPageBreak/>
        <w:t xml:space="preserve">2. </w:t>
      </w:r>
      <w:r w:rsidR="0002360D" w:rsidRPr="00EC2DBF">
        <w:rPr>
          <w:rFonts w:cs="Noto Sans"/>
        </w:rPr>
        <w:t>Panorama Económico y Financiero del Instituto</w:t>
      </w:r>
    </w:p>
    <w:p w14:paraId="6F3DD965" w14:textId="77777777" w:rsidR="00F25DE0" w:rsidRDefault="00F25DE0" w:rsidP="004674CE">
      <w:pPr>
        <w:pStyle w:val="TEXTONORMAL"/>
        <w:rPr>
          <w:rFonts w:cs="Noto Sans"/>
        </w:rPr>
      </w:pPr>
    </w:p>
    <w:p w14:paraId="18E6984A" w14:textId="066AB271" w:rsidR="0002360D" w:rsidRPr="00655E4E" w:rsidRDefault="0002360D" w:rsidP="00DA1A29">
      <w:pPr>
        <w:spacing w:after="120" w:line="250" w:lineRule="exact"/>
        <w:jc w:val="both"/>
        <w:rPr>
          <w:rFonts w:ascii="Noto Sans" w:hAnsi="Noto Sans" w:cs="Noto Sans"/>
          <w:sz w:val="18"/>
          <w:szCs w:val="18"/>
        </w:rPr>
      </w:pPr>
      <w:r w:rsidRPr="00EC2DBF">
        <w:rPr>
          <w:rFonts w:ascii="Noto Sans" w:hAnsi="Noto Sans" w:cs="Noto Sans"/>
          <w:sz w:val="18"/>
          <w:szCs w:val="18"/>
        </w:rPr>
        <w:t>No obstante, el entorno económico, se observó una mejoría en los ingresos del Instituto gracias a una serie de acciones estratégicas que se implementaron, los cuales repercutieron de forma positiva en diversos indicadores tales como recuperación del empleo formal, incremento de patrones afiliados y un incremento nominal en el salario base de cotización</w:t>
      </w:r>
      <w:r w:rsidR="00EE1299">
        <w:rPr>
          <w:rFonts w:ascii="Noto Sans" w:hAnsi="Noto Sans" w:cs="Noto Sans"/>
          <w:sz w:val="18"/>
          <w:szCs w:val="18"/>
        </w:rPr>
        <w:t>.</w:t>
      </w:r>
    </w:p>
    <w:p w14:paraId="3DAB7A97" w14:textId="77777777" w:rsidR="0002360D" w:rsidRDefault="0002360D" w:rsidP="00DA1A29">
      <w:pPr>
        <w:spacing w:after="120" w:line="250" w:lineRule="exact"/>
        <w:jc w:val="both"/>
        <w:rPr>
          <w:rFonts w:ascii="Noto Sans" w:hAnsi="Noto Sans" w:cs="Noto Sans"/>
          <w:sz w:val="18"/>
          <w:szCs w:val="18"/>
        </w:rPr>
      </w:pPr>
      <w:r w:rsidRPr="00EC2DBF">
        <w:rPr>
          <w:rFonts w:ascii="Noto Sans" w:hAnsi="Noto Sans" w:cs="Noto Sans"/>
          <w:sz w:val="18"/>
          <w:szCs w:val="18"/>
        </w:rPr>
        <w:t>Cabe señalar que con base en la situación financiera descrita, el reto del Instituto para los siguientes ejercicios deberá enfocarse en mitigar los riesgos financieros, contingencias y pasivos que se detectan para cada seguro, alineando su operación con las prioridades definidas por el Gobierno Federal y atenuando las presiones de gasto adicionales que se puedan generar por la ampliación de la cobertura de los servicios, mediante el establecimiento de mecanismos para hacer un uso eficiente de los recursos, trabajando para coadyuvar a la suficiencia financiera del Instituto.</w:t>
      </w:r>
    </w:p>
    <w:p w14:paraId="768ACB1E" w14:textId="77777777" w:rsidR="0002360D" w:rsidRDefault="0002360D" w:rsidP="00DA1A29">
      <w:pPr>
        <w:spacing w:after="120" w:line="250" w:lineRule="exact"/>
        <w:jc w:val="both"/>
        <w:rPr>
          <w:rFonts w:ascii="Noto Sans" w:hAnsi="Noto Sans" w:cs="Noto Sans"/>
          <w:sz w:val="18"/>
          <w:szCs w:val="18"/>
        </w:rPr>
      </w:pPr>
    </w:p>
    <w:p w14:paraId="459F3D0D" w14:textId="30659F09" w:rsidR="0002360D" w:rsidRDefault="00D264DA" w:rsidP="00D06BE8">
      <w:pPr>
        <w:pStyle w:val="TEXTONORMAL"/>
        <w:numPr>
          <w:ilvl w:val="0"/>
          <w:numId w:val="40"/>
        </w:numPr>
        <w:ind w:left="357" w:hanging="357"/>
      </w:pPr>
      <w:r>
        <w:t xml:space="preserve">3. </w:t>
      </w:r>
      <w:r w:rsidR="0002360D" w:rsidRPr="00EC2DBF">
        <w:t>Organización y Objeto Social del Instituto</w:t>
      </w:r>
    </w:p>
    <w:p w14:paraId="1C09A7B6" w14:textId="77777777" w:rsidR="00EE1299" w:rsidRPr="00EC2DBF" w:rsidRDefault="00EE1299" w:rsidP="00EE1299">
      <w:pPr>
        <w:pStyle w:val="TEXTONORMAL"/>
        <w:ind w:left="357"/>
      </w:pPr>
    </w:p>
    <w:p w14:paraId="08F5FF02" w14:textId="77777777" w:rsidR="0002360D" w:rsidRPr="009223B3" w:rsidRDefault="0002360D" w:rsidP="00D06BE8">
      <w:pPr>
        <w:pStyle w:val="TEXTONORMAL"/>
        <w:numPr>
          <w:ilvl w:val="0"/>
          <w:numId w:val="37"/>
        </w:numPr>
        <w:rPr>
          <w:bCs/>
        </w:rPr>
      </w:pPr>
      <w:r w:rsidRPr="009223B3">
        <w:rPr>
          <w:bCs/>
        </w:rPr>
        <w:t>a) Objeto social</w:t>
      </w:r>
    </w:p>
    <w:p w14:paraId="604496B0" w14:textId="77777777" w:rsidR="0002360D" w:rsidRDefault="0002360D" w:rsidP="0002360D">
      <w:pPr>
        <w:spacing w:after="120" w:line="250" w:lineRule="exact"/>
        <w:jc w:val="both"/>
        <w:rPr>
          <w:rFonts w:ascii="Noto Sans" w:hAnsi="Noto Sans" w:cs="Noto Sans"/>
          <w:sz w:val="18"/>
          <w:szCs w:val="18"/>
        </w:rPr>
      </w:pPr>
      <w:r w:rsidRPr="00655E4E">
        <w:rPr>
          <w:rFonts w:ascii="Noto Sans" w:hAnsi="Noto Sans" w:cs="Noto Sans"/>
          <w:sz w:val="18"/>
          <w:szCs w:val="18"/>
        </w:rPr>
        <w:t>El Instituto Mexicano del Seguro Social es una de las principales instituciones de seguridad social del Estado Mexicano, por lo que su objeto social y sus actividades están centradas principalmente en la atención médica y seguridad social.</w:t>
      </w:r>
    </w:p>
    <w:p w14:paraId="701300F5" w14:textId="77777777" w:rsidR="0002360D" w:rsidRPr="009223B3" w:rsidRDefault="0002360D" w:rsidP="00D06BE8">
      <w:pPr>
        <w:pStyle w:val="TEXTONORMAL"/>
        <w:numPr>
          <w:ilvl w:val="0"/>
          <w:numId w:val="37"/>
        </w:numPr>
        <w:rPr>
          <w:bCs/>
        </w:rPr>
      </w:pPr>
      <w:r w:rsidRPr="009223B3">
        <w:rPr>
          <w:bCs/>
        </w:rPr>
        <w:t xml:space="preserve">b) Principal actividad </w:t>
      </w:r>
    </w:p>
    <w:p w14:paraId="2418B9C1" w14:textId="77777777" w:rsidR="0002360D" w:rsidRPr="00655E4E" w:rsidRDefault="0002360D" w:rsidP="0002360D">
      <w:pPr>
        <w:spacing w:after="120" w:line="250" w:lineRule="exact"/>
        <w:jc w:val="both"/>
        <w:rPr>
          <w:rFonts w:ascii="Noto Sans" w:hAnsi="Noto Sans" w:cs="Noto Sans"/>
          <w:sz w:val="18"/>
          <w:szCs w:val="18"/>
        </w:rPr>
      </w:pPr>
      <w:r w:rsidRPr="00655E4E">
        <w:rPr>
          <w:rFonts w:ascii="Noto Sans" w:hAnsi="Noto Sans" w:cs="Noto Sans"/>
          <w:sz w:val="18"/>
          <w:szCs w:val="18"/>
        </w:rPr>
        <w:t>De acuerdo con lo establecido en el artículo 2 de la LSS,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14:paraId="639AF99A" w14:textId="77777777" w:rsidR="0002360D" w:rsidRPr="009223B3" w:rsidRDefault="0002360D" w:rsidP="00D06BE8">
      <w:pPr>
        <w:pStyle w:val="TEXTONORMAL"/>
        <w:numPr>
          <w:ilvl w:val="0"/>
          <w:numId w:val="37"/>
        </w:numPr>
        <w:rPr>
          <w:bCs/>
        </w:rPr>
      </w:pPr>
      <w:r w:rsidRPr="009223B3">
        <w:rPr>
          <w:bCs/>
        </w:rPr>
        <w:t xml:space="preserve">c) Ejercicio fiscal </w:t>
      </w:r>
    </w:p>
    <w:p w14:paraId="4B6676A4" w14:textId="555D3AC5" w:rsidR="0002360D" w:rsidRPr="00655E4E" w:rsidRDefault="0002360D" w:rsidP="0002360D">
      <w:pPr>
        <w:spacing w:after="120" w:line="250" w:lineRule="exact"/>
        <w:jc w:val="both"/>
        <w:rPr>
          <w:rFonts w:ascii="Noto Sans" w:hAnsi="Noto Sans" w:cs="Noto Sans"/>
          <w:sz w:val="18"/>
          <w:szCs w:val="18"/>
        </w:rPr>
      </w:pPr>
      <w:r w:rsidRPr="00655E4E">
        <w:rPr>
          <w:rFonts w:ascii="Noto Sans" w:hAnsi="Noto Sans" w:cs="Noto Sans"/>
          <w:sz w:val="18"/>
          <w:szCs w:val="18"/>
        </w:rPr>
        <w:t>El presente documento muestra la información financiera del 1 de enero al 3</w:t>
      </w:r>
      <w:r w:rsidR="00FF3F1E">
        <w:rPr>
          <w:rFonts w:ascii="Noto Sans" w:hAnsi="Noto Sans" w:cs="Noto Sans"/>
          <w:sz w:val="18"/>
          <w:szCs w:val="18"/>
        </w:rPr>
        <w:t>0</w:t>
      </w:r>
      <w:r w:rsidRPr="00655E4E">
        <w:rPr>
          <w:rFonts w:ascii="Noto Sans" w:hAnsi="Noto Sans" w:cs="Noto Sans"/>
          <w:sz w:val="18"/>
          <w:szCs w:val="18"/>
        </w:rPr>
        <w:t xml:space="preserve"> de </w:t>
      </w:r>
      <w:r w:rsidR="00FF3F1E">
        <w:rPr>
          <w:rFonts w:ascii="Noto Sans" w:hAnsi="Noto Sans" w:cs="Noto Sans"/>
          <w:sz w:val="18"/>
          <w:szCs w:val="18"/>
        </w:rPr>
        <w:t>junio</w:t>
      </w:r>
      <w:r w:rsidRPr="00655E4E">
        <w:rPr>
          <w:rFonts w:ascii="Noto Sans" w:hAnsi="Noto Sans" w:cs="Noto Sans"/>
          <w:sz w:val="18"/>
          <w:szCs w:val="18"/>
        </w:rPr>
        <w:t xml:space="preserve"> de 202</w:t>
      </w:r>
      <w:r w:rsidR="00EE1299">
        <w:rPr>
          <w:rFonts w:ascii="Noto Sans" w:hAnsi="Noto Sans" w:cs="Noto Sans"/>
          <w:sz w:val="18"/>
          <w:szCs w:val="18"/>
        </w:rPr>
        <w:t>5</w:t>
      </w:r>
      <w:r w:rsidRPr="00655E4E">
        <w:rPr>
          <w:rFonts w:ascii="Noto Sans" w:hAnsi="Noto Sans" w:cs="Noto Sans"/>
          <w:sz w:val="18"/>
          <w:szCs w:val="18"/>
        </w:rPr>
        <w:t>.</w:t>
      </w:r>
    </w:p>
    <w:p w14:paraId="34E2486C" w14:textId="77777777" w:rsidR="0002360D" w:rsidRPr="009223B3" w:rsidRDefault="0002360D" w:rsidP="00D06BE8">
      <w:pPr>
        <w:pStyle w:val="TEXTONORMAL"/>
        <w:numPr>
          <w:ilvl w:val="0"/>
          <w:numId w:val="37"/>
        </w:numPr>
        <w:rPr>
          <w:bCs/>
        </w:rPr>
      </w:pPr>
      <w:r w:rsidRPr="009223B3">
        <w:rPr>
          <w:bCs/>
        </w:rPr>
        <w:t xml:space="preserve">d) Régimen jurídico </w:t>
      </w:r>
    </w:p>
    <w:p w14:paraId="68011EB7" w14:textId="77777777" w:rsidR="0002360D" w:rsidRDefault="0002360D" w:rsidP="0002360D">
      <w:pPr>
        <w:spacing w:after="120" w:line="250" w:lineRule="exact"/>
        <w:jc w:val="both"/>
        <w:rPr>
          <w:rFonts w:ascii="Noto Sans" w:hAnsi="Noto Sans" w:cs="Noto Sans"/>
          <w:sz w:val="18"/>
          <w:szCs w:val="18"/>
        </w:rPr>
      </w:pPr>
      <w:r w:rsidRPr="00EC2DBF">
        <w:rPr>
          <w:rFonts w:ascii="Noto Sans" w:hAnsi="Noto Sans" w:cs="Noto Sans"/>
          <w:sz w:val="18"/>
          <w:szCs w:val="18"/>
        </w:rPr>
        <w:t>El Instituto se rige por lo establecido en la LSS, la cual fue reformada el 1° de julio de 1997 y ha tenido diversas modificaciones, en enero de 1998, diciembre de 2001, agosto de 2004, abril y diciembre de 2005, agosto de 2006, enero, mayo, junio y julio de 2009, mayo de 2011, abril y mayo de 2012, enero y abril de 2014, noviembre de 2015, junio de 2018, mayo, junio, julio y noviembre de 2019, octubre y diciembre de 2020, abril, julio y diciembre de 2021, mayo y noviembre de 2022, enero, marzo y abril de 2023, siendo sus últimas modificaciones en abril, mayo y junio de 2024.</w:t>
      </w:r>
    </w:p>
    <w:p w14:paraId="4D53FA01" w14:textId="77777777" w:rsidR="00EE1299" w:rsidRDefault="00EE1299" w:rsidP="0002360D">
      <w:pPr>
        <w:spacing w:after="120" w:line="250" w:lineRule="exact"/>
        <w:jc w:val="both"/>
        <w:rPr>
          <w:rFonts w:ascii="Noto Sans" w:hAnsi="Noto Sans" w:cs="Noto Sans"/>
          <w:sz w:val="18"/>
          <w:szCs w:val="18"/>
        </w:rPr>
      </w:pPr>
    </w:p>
    <w:p w14:paraId="1BD000BA" w14:textId="77777777" w:rsidR="00EE1299" w:rsidRDefault="00EE1299" w:rsidP="0002360D">
      <w:pPr>
        <w:spacing w:after="120" w:line="250" w:lineRule="exact"/>
        <w:jc w:val="both"/>
        <w:rPr>
          <w:rFonts w:ascii="Noto Sans" w:hAnsi="Noto Sans" w:cs="Noto Sans"/>
          <w:sz w:val="18"/>
          <w:szCs w:val="18"/>
        </w:rPr>
      </w:pPr>
    </w:p>
    <w:p w14:paraId="6982D044" w14:textId="77777777" w:rsidR="00EE1299" w:rsidRPr="00EC2DBF" w:rsidRDefault="00EE1299" w:rsidP="0002360D">
      <w:pPr>
        <w:spacing w:after="120" w:line="250" w:lineRule="exact"/>
        <w:jc w:val="both"/>
        <w:rPr>
          <w:rFonts w:ascii="Noto Sans" w:hAnsi="Noto Sans" w:cs="Noto Sans"/>
          <w:sz w:val="18"/>
          <w:szCs w:val="18"/>
        </w:rPr>
      </w:pPr>
    </w:p>
    <w:p w14:paraId="0E043743" w14:textId="77777777" w:rsidR="0002360D" w:rsidRDefault="0002360D" w:rsidP="0002360D">
      <w:pPr>
        <w:spacing w:after="120" w:line="250" w:lineRule="exact"/>
        <w:jc w:val="both"/>
        <w:rPr>
          <w:rFonts w:ascii="Noto Sans" w:hAnsi="Noto Sans" w:cs="Noto Sans"/>
          <w:sz w:val="18"/>
          <w:szCs w:val="18"/>
        </w:rPr>
      </w:pPr>
      <w:r w:rsidRPr="00EC2DBF">
        <w:rPr>
          <w:rFonts w:ascii="Noto Sans" w:hAnsi="Noto Sans" w:cs="Noto Sans"/>
          <w:sz w:val="18"/>
          <w:szCs w:val="18"/>
        </w:rPr>
        <w:lastRenderedPageBreak/>
        <w:t>Las funciones y atribuciones del Instituto se rigen por lo establecido en la propia LSS y se complementa con la siguiente normatividad:</w:t>
      </w:r>
    </w:p>
    <w:p w14:paraId="0666C463" w14:textId="77777777" w:rsidR="004E3B8C" w:rsidRPr="004E3B8C" w:rsidRDefault="004E3B8C" w:rsidP="004E3B8C">
      <w:pPr>
        <w:pStyle w:val="TEXTONORMAL"/>
        <w:numPr>
          <w:ilvl w:val="0"/>
          <w:numId w:val="38"/>
        </w:numPr>
        <w:ind w:left="998" w:hanging="284"/>
        <w:rPr>
          <w:bCs/>
        </w:rPr>
      </w:pPr>
      <w:r w:rsidRPr="004E3B8C">
        <w:rPr>
          <w:bCs/>
        </w:rPr>
        <w:t xml:space="preserve">Constitución Política de los Estados Unidos Mexicanos. </w:t>
      </w:r>
    </w:p>
    <w:p w14:paraId="2F88C276" w14:textId="77777777" w:rsidR="004E3B8C" w:rsidRPr="004E3B8C" w:rsidRDefault="004E3B8C" w:rsidP="004E3B8C">
      <w:pPr>
        <w:pStyle w:val="TEXTONORMAL"/>
        <w:numPr>
          <w:ilvl w:val="0"/>
          <w:numId w:val="38"/>
        </w:numPr>
        <w:ind w:left="998" w:hanging="284"/>
        <w:rPr>
          <w:bCs/>
        </w:rPr>
      </w:pPr>
      <w:r w:rsidRPr="004E3B8C">
        <w:rPr>
          <w:bCs/>
        </w:rPr>
        <w:t xml:space="preserve">Ley de Adquisiciones, Arrendamientos y Servicios del Sector Público. </w:t>
      </w:r>
    </w:p>
    <w:p w14:paraId="2C99010F" w14:textId="77777777" w:rsidR="004E3B8C" w:rsidRPr="004E3B8C" w:rsidRDefault="004E3B8C" w:rsidP="004E3B8C">
      <w:pPr>
        <w:pStyle w:val="TEXTONORMAL"/>
        <w:numPr>
          <w:ilvl w:val="0"/>
          <w:numId w:val="38"/>
        </w:numPr>
        <w:ind w:left="998" w:hanging="284"/>
        <w:rPr>
          <w:bCs/>
        </w:rPr>
      </w:pPr>
      <w:r w:rsidRPr="004E3B8C">
        <w:rPr>
          <w:bCs/>
        </w:rPr>
        <w:t xml:space="preserve">Ley de Amparo, Reglamentaria de los Artículos 103 y 107 de la Constitución Política de los Estados Unidos Mexicanos. </w:t>
      </w:r>
    </w:p>
    <w:p w14:paraId="04CA6E46" w14:textId="77777777" w:rsidR="004E3B8C" w:rsidRPr="004E3B8C" w:rsidRDefault="004E3B8C" w:rsidP="004E3B8C">
      <w:pPr>
        <w:pStyle w:val="TEXTONORMAL"/>
        <w:numPr>
          <w:ilvl w:val="0"/>
          <w:numId w:val="38"/>
        </w:numPr>
        <w:ind w:left="998" w:hanging="284"/>
        <w:rPr>
          <w:bCs/>
        </w:rPr>
      </w:pPr>
      <w:r w:rsidRPr="004E3B8C">
        <w:rPr>
          <w:bCs/>
        </w:rPr>
        <w:t xml:space="preserve">Ley de Concursos Mercantiles. </w:t>
      </w:r>
    </w:p>
    <w:p w14:paraId="64F53464" w14:textId="77777777" w:rsidR="004E3B8C" w:rsidRPr="004E3B8C" w:rsidRDefault="004E3B8C" w:rsidP="004E3B8C">
      <w:pPr>
        <w:pStyle w:val="TEXTONORMAL"/>
        <w:numPr>
          <w:ilvl w:val="0"/>
          <w:numId w:val="38"/>
        </w:numPr>
        <w:ind w:left="998" w:hanging="284"/>
        <w:rPr>
          <w:bCs/>
        </w:rPr>
      </w:pPr>
      <w:r w:rsidRPr="004E3B8C">
        <w:rPr>
          <w:bCs/>
        </w:rPr>
        <w:t xml:space="preserve">Ley de Coordinación Fiscal. </w:t>
      </w:r>
    </w:p>
    <w:p w14:paraId="2DE7CCAD" w14:textId="77777777" w:rsidR="004E3B8C" w:rsidRPr="004E3B8C" w:rsidRDefault="004E3B8C" w:rsidP="004E3B8C">
      <w:pPr>
        <w:pStyle w:val="TEXTONORMAL"/>
        <w:numPr>
          <w:ilvl w:val="0"/>
          <w:numId w:val="38"/>
        </w:numPr>
        <w:ind w:left="998" w:hanging="284"/>
        <w:rPr>
          <w:bCs/>
        </w:rPr>
      </w:pPr>
      <w:r w:rsidRPr="004E3B8C">
        <w:rPr>
          <w:bCs/>
        </w:rPr>
        <w:t xml:space="preserve">Ley de Fiscalización y Rendición de Cuentas de la Federación. </w:t>
      </w:r>
    </w:p>
    <w:p w14:paraId="30A3D55A" w14:textId="77777777" w:rsidR="004E3B8C" w:rsidRPr="004E3B8C" w:rsidRDefault="004E3B8C" w:rsidP="004E3B8C">
      <w:pPr>
        <w:pStyle w:val="TEXTONORMAL"/>
        <w:numPr>
          <w:ilvl w:val="0"/>
          <w:numId w:val="38"/>
        </w:numPr>
        <w:ind w:left="998" w:hanging="284"/>
        <w:rPr>
          <w:bCs/>
        </w:rPr>
      </w:pPr>
      <w:r w:rsidRPr="004E3B8C">
        <w:rPr>
          <w:bCs/>
        </w:rPr>
        <w:t xml:space="preserve">Ley de Infraestructura de la Calidad. </w:t>
      </w:r>
    </w:p>
    <w:p w14:paraId="183CA2A2" w14:textId="77777777" w:rsidR="004E3B8C" w:rsidRPr="004E3B8C" w:rsidRDefault="004E3B8C" w:rsidP="004E3B8C">
      <w:pPr>
        <w:pStyle w:val="TEXTONORMAL"/>
        <w:numPr>
          <w:ilvl w:val="0"/>
          <w:numId w:val="38"/>
        </w:numPr>
        <w:ind w:left="998" w:hanging="284"/>
        <w:rPr>
          <w:bCs/>
        </w:rPr>
      </w:pPr>
      <w:r w:rsidRPr="004E3B8C">
        <w:rPr>
          <w:bCs/>
        </w:rPr>
        <w:t xml:space="preserve">Ley de Instituciones de Seguros y de Fianzas. </w:t>
      </w:r>
    </w:p>
    <w:p w14:paraId="6937D885" w14:textId="77777777" w:rsidR="004E3B8C" w:rsidRPr="004E3B8C" w:rsidRDefault="004E3B8C" w:rsidP="004E3B8C">
      <w:pPr>
        <w:pStyle w:val="TEXTONORMAL"/>
        <w:numPr>
          <w:ilvl w:val="0"/>
          <w:numId w:val="38"/>
        </w:numPr>
        <w:ind w:left="998" w:hanging="284"/>
        <w:rPr>
          <w:bCs/>
        </w:rPr>
      </w:pPr>
      <w:r w:rsidRPr="004E3B8C">
        <w:rPr>
          <w:bCs/>
        </w:rPr>
        <w:t xml:space="preserve">Ley de la Comisión Nacional de los Derechos Humanos. </w:t>
      </w:r>
    </w:p>
    <w:p w14:paraId="1E7A64F3" w14:textId="77777777" w:rsidR="004E3B8C" w:rsidRPr="004E3B8C" w:rsidRDefault="004E3B8C" w:rsidP="004E3B8C">
      <w:pPr>
        <w:pStyle w:val="TEXTONORMAL"/>
        <w:numPr>
          <w:ilvl w:val="0"/>
          <w:numId w:val="38"/>
        </w:numPr>
        <w:ind w:left="998" w:hanging="284"/>
        <w:rPr>
          <w:bCs/>
        </w:rPr>
      </w:pPr>
      <w:r w:rsidRPr="004E3B8C">
        <w:rPr>
          <w:bCs/>
        </w:rPr>
        <w:t>Ley de los Sistemas de Ahorro para el Retiro.</w:t>
      </w:r>
    </w:p>
    <w:p w14:paraId="587F70B4" w14:textId="77777777" w:rsidR="004E3B8C" w:rsidRPr="004E3B8C" w:rsidRDefault="004E3B8C" w:rsidP="004E3B8C">
      <w:pPr>
        <w:pStyle w:val="TEXTONORMAL"/>
        <w:numPr>
          <w:ilvl w:val="0"/>
          <w:numId w:val="38"/>
        </w:numPr>
        <w:ind w:left="998" w:hanging="284"/>
        <w:rPr>
          <w:bCs/>
        </w:rPr>
      </w:pPr>
      <w:r w:rsidRPr="004E3B8C">
        <w:rPr>
          <w:bCs/>
        </w:rPr>
        <w:t xml:space="preserve">Ley de Obras Públicas y Servicios Relacionados con las Mismas. </w:t>
      </w:r>
    </w:p>
    <w:p w14:paraId="2C138C99" w14:textId="77777777" w:rsidR="004E3B8C" w:rsidRPr="004E3B8C" w:rsidRDefault="004E3B8C" w:rsidP="004E3B8C">
      <w:pPr>
        <w:pStyle w:val="TEXTONORMAL"/>
        <w:numPr>
          <w:ilvl w:val="0"/>
          <w:numId w:val="38"/>
        </w:numPr>
        <w:ind w:left="998" w:hanging="284"/>
        <w:rPr>
          <w:bCs/>
        </w:rPr>
      </w:pPr>
      <w:r w:rsidRPr="004E3B8C">
        <w:rPr>
          <w:bCs/>
        </w:rPr>
        <w:t xml:space="preserve">Ley de Planeación. </w:t>
      </w:r>
    </w:p>
    <w:p w14:paraId="05058FF2" w14:textId="77777777" w:rsidR="004E3B8C" w:rsidRPr="004E3B8C" w:rsidRDefault="004E3B8C" w:rsidP="004E3B8C">
      <w:pPr>
        <w:pStyle w:val="TEXTONORMAL"/>
        <w:numPr>
          <w:ilvl w:val="0"/>
          <w:numId w:val="38"/>
        </w:numPr>
        <w:ind w:left="998" w:hanging="284"/>
        <w:rPr>
          <w:bCs/>
        </w:rPr>
      </w:pPr>
      <w:r w:rsidRPr="004E3B8C">
        <w:rPr>
          <w:bCs/>
        </w:rPr>
        <w:t xml:space="preserve">Ley de Tesorería de la Federación. </w:t>
      </w:r>
    </w:p>
    <w:p w14:paraId="416FD988" w14:textId="77777777" w:rsidR="004E3B8C" w:rsidRPr="004E3B8C" w:rsidRDefault="004E3B8C" w:rsidP="004E3B8C">
      <w:pPr>
        <w:pStyle w:val="TEXTONORMAL"/>
        <w:numPr>
          <w:ilvl w:val="0"/>
          <w:numId w:val="38"/>
        </w:numPr>
        <w:ind w:left="998" w:hanging="284"/>
        <w:rPr>
          <w:bCs/>
        </w:rPr>
      </w:pPr>
      <w:r w:rsidRPr="004E3B8C">
        <w:rPr>
          <w:bCs/>
        </w:rPr>
        <w:t xml:space="preserve">Ley Agraria. </w:t>
      </w:r>
    </w:p>
    <w:p w14:paraId="7AF90D18" w14:textId="77777777" w:rsidR="004E3B8C" w:rsidRPr="004E3B8C" w:rsidRDefault="004E3B8C" w:rsidP="004E3B8C">
      <w:pPr>
        <w:pStyle w:val="TEXTONORMAL"/>
        <w:numPr>
          <w:ilvl w:val="0"/>
          <w:numId w:val="38"/>
        </w:numPr>
        <w:ind w:left="998" w:hanging="284"/>
        <w:rPr>
          <w:bCs/>
        </w:rPr>
      </w:pPr>
      <w:r w:rsidRPr="004E3B8C">
        <w:rPr>
          <w:bCs/>
        </w:rPr>
        <w:t xml:space="preserve">Ley del Impuesto al Valor Agregado. </w:t>
      </w:r>
    </w:p>
    <w:p w14:paraId="3F7857FE" w14:textId="77777777" w:rsidR="004E3B8C" w:rsidRPr="004E3B8C" w:rsidRDefault="004E3B8C" w:rsidP="004E3B8C">
      <w:pPr>
        <w:pStyle w:val="TEXTONORMAL"/>
        <w:numPr>
          <w:ilvl w:val="0"/>
          <w:numId w:val="38"/>
        </w:numPr>
        <w:ind w:left="998" w:hanging="284"/>
        <w:rPr>
          <w:bCs/>
        </w:rPr>
      </w:pPr>
      <w:r w:rsidRPr="004E3B8C">
        <w:rPr>
          <w:bCs/>
        </w:rPr>
        <w:t>Ley del Impuesto Especial sobre Producción y Servicios</w:t>
      </w:r>
    </w:p>
    <w:p w14:paraId="06D471EF" w14:textId="77777777" w:rsidR="004E3B8C" w:rsidRPr="004E3B8C" w:rsidRDefault="004E3B8C" w:rsidP="004E3B8C">
      <w:pPr>
        <w:pStyle w:val="TEXTONORMAL"/>
        <w:numPr>
          <w:ilvl w:val="0"/>
          <w:numId w:val="38"/>
        </w:numPr>
        <w:ind w:left="998" w:hanging="284"/>
        <w:rPr>
          <w:bCs/>
        </w:rPr>
      </w:pPr>
      <w:r w:rsidRPr="004E3B8C">
        <w:rPr>
          <w:bCs/>
        </w:rPr>
        <w:t xml:space="preserve">Ley del Impuesto Sobre la Renta. </w:t>
      </w:r>
    </w:p>
    <w:p w14:paraId="1F239C51" w14:textId="77777777" w:rsidR="004E3B8C" w:rsidRPr="004E3B8C" w:rsidRDefault="004E3B8C" w:rsidP="004E3B8C">
      <w:pPr>
        <w:pStyle w:val="TEXTONORMAL"/>
        <w:numPr>
          <w:ilvl w:val="0"/>
          <w:numId w:val="38"/>
        </w:numPr>
        <w:ind w:left="998" w:hanging="284"/>
        <w:rPr>
          <w:bCs/>
        </w:rPr>
      </w:pPr>
      <w:r w:rsidRPr="004E3B8C">
        <w:rPr>
          <w:bCs/>
        </w:rPr>
        <w:t xml:space="preserve">Ley del Instituto del Fondo Nacional de la Vivienda para los Trabajadores. </w:t>
      </w:r>
    </w:p>
    <w:p w14:paraId="343095A2" w14:textId="77777777" w:rsidR="004E3B8C" w:rsidRPr="004E3B8C" w:rsidRDefault="004E3B8C" w:rsidP="004E3B8C">
      <w:pPr>
        <w:pStyle w:val="TEXTONORMAL"/>
        <w:numPr>
          <w:ilvl w:val="0"/>
          <w:numId w:val="38"/>
        </w:numPr>
        <w:ind w:left="998" w:hanging="284"/>
        <w:rPr>
          <w:bCs/>
        </w:rPr>
      </w:pPr>
      <w:r w:rsidRPr="004E3B8C">
        <w:rPr>
          <w:bCs/>
        </w:rPr>
        <w:t xml:space="preserve">Ley del Instituto Nacional de las Mujeres. </w:t>
      </w:r>
    </w:p>
    <w:p w14:paraId="46E94942" w14:textId="77777777" w:rsidR="004E3B8C" w:rsidRPr="004E3B8C" w:rsidRDefault="004E3B8C" w:rsidP="004E3B8C">
      <w:pPr>
        <w:pStyle w:val="TEXTONORMAL"/>
        <w:numPr>
          <w:ilvl w:val="0"/>
          <w:numId w:val="38"/>
        </w:numPr>
        <w:ind w:left="998" w:hanging="284"/>
        <w:rPr>
          <w:bCs/>
        </w:rPr>
      </w:pPr>
      <w:r w:rsidRPr="004E3B8C">
        <w:rPr>
          <w:bCs/>
        </w:rPr>
        <w:t xml:space="preserve">Ley del Seguro Social. </w:t>
      </w:r>
    </w:p>
    <w:p w14:paraId="7EAC47E8" w14:textId="77777777" w:rsidR="004E3B8C" w:rsidRPr="004E3B8C" w:rsidRDefault="004E3B8C" w:rsidP="004E3B8C">
      <w:pPr>
        <w:pStyle w:val="TEXTONORMAL"/>
        <w:numPr>
          <w:ilvl w:val="0"/>
          <w:numId w:val="38"/>
        </w:numPr>
        <w:ind w:left="998" w:hanging="284"/>
        <w:rPr>
          <w:bCs/>
        </w:rPr>
      </w:pPr>
      <w:r w:rsidRPr="004E3B8C">
        <w:rPr>
          <w:bCs/>
        </w:rPr>
        <w:t xml:space="preserve">Ley Federal de Austeridad Republicana. </w:t>
      </w:r>
    </w:p>
    <w:p w14:paraId="324F94CE" w14:textId="77777777" w:rsidR="004E3B8C" w:rsidRPr="004E3B8C" w:rsidRDefault="004E3B8C" w:rsidP="004E3B8C">
      <w:pPr>
        <w:pStyle w:val="TEXTONORMAL"/>
        <w:numPr>
          <w:ilvl w:val="0"/>
          <w:numId w:val="38"/>
        </w:numPr>
        <w:ind w:left="998" w:hanging="284"/>
        <w:rPr>
          <w:bCs/>
        </w:rPr>
      </w:pPr>
      <w:r w:rsidRPr="004E3B8C">
        <w:rPr>
          <w:bCs/>
        </w:rPr>
        <w:t xml:space="preserve">Ley Federal de Derechos del Contribuyente. </w:t>
      </w:r>
    </w:p>
    <w:p w14:paraId="320C70B0" w14:textId="77777777" w:rsidR="004E3B8C" w:rsidRPr="004E3B8C" w:rsidRDefault="004E3B8C" w:rsidP="004E3B8C">
      <w:pPr>
        <w:pStyle w:val="TEXTONORMAL"/>
        <w:numPr>
          <w:ilvl w:val="0"/>
          <w:numId w:val="38"/>
        </w:numPr>
        <w:ind w:left="998" w:hanging="284"/>
        <w:rPr>
          <w:bCs/>
        </w:rPr>
      </w:pPr>
      <w:r w:rsidRPr="004E3B8C">
        <w:rPr>
          <w:bCs/>
        </w:rPr>
        <w:t xml:space="preserve">Ley Federal de Fomento a las actividades realizadas por Organizaciones de la Sociedad Civil. </w:t>
      </w:r>
    </w:p>
    <w:p w14:paraId="224BDF37" w14:textId="77777777" w:rsidR="004E3B8C" w:rsidRPr="004E3B8C" w:rsidRDefault="004E3B8C" w:rsidP="004E3B8C">
      <w:pPr>
        <w:pStyle w:val="TEXTONORMAL"/>
        <w:numPr>
          <w:ilvl w:val="0"/>
          <w:numId w:val="38"/>
        </w:numPr>
        <w:ind w:left="998" w:hanging="284"/>
        <w:rPr>
          <w:bCs/>
        </w:rPr>
      </w:pPr>
      <w:r w:rsidRPr="004E3B8C">
        <w:rPr>
          <w:bCs/>
        </w:rPr>
        <w:t xml:space="preserve">Ley Federal de las Entidades Paraestatales. </w:t>
      </w:r>
    </w:p>
    <w:p w14:paraId="53BEFB33" w14:textId="77777777" w:rsidR="004E3B8C" w:rsidRPr="004E3B8C" w:rsidRDefault="004E3B8C" w:rsidP="004E3B8C">
      <w:pPr>
        <w:pStyle w:val="TEXTONORMAL"/>
        <w:numPr>
          <w:ilvl w:val="0"/>
          <w:numId w:val="38"/>
        </w:numPr>
        <w:ind w:left="998" w:hanging="284"/>
        <w:rPr>
          <w:bCs/>
        </w:rPr>
      </w:pPr>
      <w:r w:rsidRPr="004E3B8C">
        <w:rPr>
          <w:bCs/>
        </w:rPr>
        <w:lastRenderedPageBreak/>
        <w:t xml:space="preserve">Ley Federal de los Derechos del Contribuyente. </w:t>
      </w:r>
    </w:p>
    <w:p w14:paraId="60B7B289" w14:textId="77777777" w:rsidR="004E3B8C" w:rsidRPr="004E3B8C" w:rsidRDefault="004E3B8C" w:rsidP="004E3B8C">
      <w:pPr>
        <w:pStyle w:val="TEXTONORMAL"/>
        <w:numPr>
          <w:ilvl w:val="0"/>
          <w:numId w:val="38"/>
        </w:numPr>
        <w:ind w:left="998" w:hanging="284"/>
        <w:rPr>
          <w:bCs/>
        </w:rPr>
      </w:pPr>
      <w:r w:rsidRPr="004E3B8C">
        <w:rPr>
          <w:bCs/>
        </w:rPr>
        <w:t xml:space="preserve">Ley Federal de Presupuesto y Responsabilidad Hacendaria. </w:t>
      </w:r>
    </w:p>
    <w:p w14:paraId="024917E7" w14:textId="77777777" w:rsidR="004E3B8C" w:rsidRPr="004E3B8C" w:rsidRDefault="004E3B8C" w:rsidP="004E3B8C">
      <w:pPr>
        <w:pStyle w:val="TEXTONORMAL"/>
        <w:numPr>
          <w:ilvl w:val="0"/>
          <w:numId w:val="38"/>
        </w:numPr>
        <w:ind w:left="998" w:hanging="284"/>
        <w:rPr>
          <w:bCs/>
        </w:rPr>
      </w:pPr>
      <w:r w:rsidRPr="004E3B8C">
        <w:rPr>
          <w:bCs/>
        </w:rPr>
        <w:t xml:space="preserve">Ley Federal de Procedimiento Administrativo. </w:t>
      </w:r>
    </w:p>
    <w:p w14:paraId="49269C22" w14:textId="77777777" w:rsidR="004E3B8C" w:rsidRPr="004E3B8C" w:rsidRDefault="004E3B8C" w:rsidP="004E3B8C">
      <w:pPr>
        <w:pStyle w:val="TEXTONORMAL"/>
        <w:numPr>
          <w:ilvl w:val="0"/>
          <w:numId w:val="38"/>
        </w:numPr>
        <w:ind w:left="998" w:hanging="284"/>
        <w:rPr>
          <w:bCs/>
        </w:rPr>
      </w:pPr>
      <w:r w:rsidRPr="004E3B8C">
        <w:rPr>
          <w:bCs/>
        </w:rPr>
        <w:t xml:space="preserve">Ley Federal de Procedimiento Contencioso Administrativo. </w:t>
      </w:r>
    </w:p>
    <w:p w14:paraId="6940AC6D" w14:textId="77777777" w:rsidR="004E3B8C" w:rsidRPr="004E3B8C" w:rsidRDefault="004E3B8C" w:rsidP="004E3B8C">
      <w:pPr>
        <w:pStyle w:val="TEXTONORMAL"/>
        <w:numPr>
          <w:ilvl w:val="0"/>
          <w:numId w:val="38"/>
        </w:numPr>
        <w:ind w:left="998" w:hanging="284"/>
        <w:rPr>
          <w:bCs/>
        </w:rPr>
      </w:pPr>
      <w:r w:rsidRPr="004E3B8C">
        <w:rPr>
          <w:bCs/>
        </w:rPr>
        <w:t xml:space="preserve">Ley Federal de Remuneraciones de los Servidores Públicos, Reglamentaria de los artículos 75 y 127 de la Constitución Política de los Estados Unidos Mexicanos. </w:t>
      </w:r>
    </w:p>
    <w:p w14:paraId="7123CDE7" w14:textId="77777777" w:rsidR="004E3B8C" w:rsidRPr="004E3B8C" w:rsidRDefault="004E3B8C" w:rsidP="004E3B8C">
      <w:pPr>
        <w:pStyle w:val="TEXTONORMAL"/>
        <w:numPr>
          <w:ilvl w:val="0"/>
          <w:numId w:val="38"/>
        </w:numPr>
        <w:ind w:left="998" w:hanging="284"/>
        <w:rPr>
          <w:bCs/>
        </w:rPr>
      </w:pPr>
      <w:r w:rsidRPr="004E3B8C">
        <w:rPr>
          <w:bCs/>
        </w:rPr>
        <w:t xml:space="preserve">Ley Federal de Responsabilidad Patrimonial del Estado. </w:t>
      </w:r>
    </w:p>
    <w:p w14:paraId="059EFDE0" w14:textId="77777777" w:rsidR="004E3B8C" w:rsidRPr="004E3B8C" w:rsidRDefault="004E3B8C" w:rsidP="004E3B8C">
      <w:pPr>
        <w:pStyle w:val="TEXTONORMAL"/>
        <w:numPr>
          <w:ilvl w:val="0"/>
          <w:numId w:val="38"/>
        </w:numPr>
        <w:ind w:left="998" w:hanging="284"/>
        <w:rPr>
          <w:bCs/>
        </w:rPr>
      </w:pPr>
      <w:r w:rsidRPr="004E3B8C">
        <w:rPr>
          <w:bCs/>
        </w:rPr>
        <w:t xml:space="preserve">Ley Federal de Responsabilidades de los Servidores Públicos. </w:t>
      </w:r>
    </w:p>
    <w:p w14:paraId="3F7E1DAB" w14:textId="77777777" w:rsidR="004E3B8C" w:rsidRPr="004E3B8C" w:rsidRDefault="004E3B8C" w:rsidP="004E3B8C">
      <w:pPr>
        <w:pStyle w:val="TEXTONORMAL"/>
        <w:numPr>
          <w:ilvl w:val="0"/>
          <w:numId w:val="38"/>
        </w:numPr>
        <w:ind w:left="998" w:hanging="284"/>
        <w:rPr>
          <w:bCs/>
        </w:rPr>
      </w:pPr>
      <w:r w:rsidRPr="004E3B8C">
        <w:rPr>
          <w:bCs/>
        </w:rPr>
        <w:t xml:space="preserve">Ley Federal de Transparencia y Acceso a la Información Pública. </w:t>
      </w:r>
    </w:p>
    <w:p w14:paraId="6444F1CD" w14:textId="77777777" w:rsidR="004E3B8C" w:rsidRPr="004E3B8C" w:rsidRDefault="004E3B8C" w:rsidP="004E3B8C">
      <w:pPr>
        <w:pStyle w:val="TEXTONORMAL"/>
        <w:numPr>
          <w:ilvl w:val="0"/>
          <w:numId w:val="38"/>
        </w:numPr>
        <w:ind w:left="998" w:hanging="284"/>
        <w:rPr>
          <w:bCs/>
        </w:rPr>
      </w:pPr>
      <w:r w:rsidRPr="004E3B8C">
        <w:rPr>
          <w:bCs/>
        </w:rPr>
        <w:t xml:space="preserve">Ley Federal del Trabajo. </w:t>
      </w:r>
    </w:p>
    <w:p w14:paraId="43FD26A8" w14:textId="77777777" w:rsidR="004E3B8C" w:rsidRPr="004E3B8C" w:rsidRDefault="004E3B8C" w:rsidP="004E3B8C">
      <w:pPr>
        <w:pStyle w:val="TEXTONORMAL"/>
        <w:numPr>
          <w:ilvl w:val="0"/>
          <w:numId w:val="38"/>
        </w:numPr>
        <w:ind w:left="998" w:hanging="284"/>
        <w:rPr>
          <w:bCs/>
        </w:rPr>
      </w:pPr>
      <w:r w:rsidRPr="004E3B8C">
        <w:rPr>
          <w:bCs/>
        </w:rPr>
        <w:t xml:space="preserve">Ley Federal para Prevenir y Eliminar la Discriminación. </w:t>
      </w:r>
    </w:p>
    <w:p w14:paraId="61C0C50F" w14:textId="77777777" w:rsidR="004E3B8C" w:rsidRPr="004E3B8C" w:rsidRDefault="004E3B8C" w:rsidP="004E3B8C">
      <w:pPr>
        <w:pStyle w:val="TEXTONORMAL"/>
        <w:numPr>
          <w:ilvl w:val="0"/>
          <w:numId w:val="38"/>
        </w:numPr>
        <w:ind w:left="998" w:hanging="284"/>
        <w:rPr>
          <w:bCs/>
        </w:rPr>
      </w:pPr>
      <w:r w:rsidRPr="004E3B8C">
        <w:rPr>
          <w:bCs/>
        </w:rPr>
        <w:t xml:space="preserve">Ley General de Acceso de las Mujeres a una Vida Libre de Violencia. </w:t>
      </w:r>
    </w:p>
    <w:p w14:paraId="3B54BBF9" w14:textId="77777777" w:rsidR="004E3B8C" w:rsidRPr="004E3B8C" w:rsidRDefault="004E3B8C" w:rsidP="004E3B8C">
      <w:pPr>
        <w:pStyle w:val="TEXTONORMAL"/>
        <w:numPr>
          <w:ilvl w:val="0"/>
          <w:numId w:val="38"/>
        </w:numPr>
        <w:ind w:left="998" w:hanging="284"/>
        <w:rPr>
          <w:bCs/>
        </w:rPr>
      </w:pPr>
      <w:r w:rsidRPr="004E3B8C">
        <w:rPr>
          <w:bCs/>
        </w:rPr>
        <w:t xml:space="preserve">Ley General de Archivos. </w:t>
      </w:r>
    </w:p>
    <w:p w14:paraId="3CBC0C09" w14:textId="77777777" w:rsidR="004E3B8C" w:rsidRPr="004E3B8C" w:rsidRDefault="004E3B8C" w:rsidP="004E3B8C">
      <w:pPr>
        <w:pStyle w:val="TEXTONORMAL"/>
        <w:numPr>
          <w:ilvl w:val="0"/>
          <w:numId w:val="38"/>
        </w:numPr>
        <w:ind w:left="998" w:hanging="284"/>
        <w:rPr>
          <w:bCs/>
        </w:rPr>
      </w:pPr>
      <w:r w:rsidRPr="004E3B8C">
        <w:rPr>
          <w:bCs/>
        </w:rPr>
        <w:t xml:space="preserve">Ley General de Bienes Nacionales. </w:t>
      </w:r>
    </w:p>
    <w:p w14:paraId="1526812D" w14:textId="77777777" w:rsidR="004E3B8C" w:rsidRPr="004E3B8C" w:rsidRDefault="004E3B8C" w:rsidP="004E3B8C">
      <w:pPr>
        <w:pStyle w:val="TEXTONORMAL"/>
        <w:numPr>
          <w:ilvl w:val="0"/>
          <w:numId w:val="38"/>
        </w:numPr>
        <w:ind w:left="998" w:hanging="284"/>
        <w:rPr>
          <w:bCs/>
        </w:rPr>
      </w:pPr>
      <w:r w:rsidRPr="004E3B8C">
        <w:rPr>
          <w:bCs/>
        </w:rPr>
        <w:t xml:space="preserve">Ley General de Contabilidad Gubernamental. </w:t>
      </w:r>
    </w:p>
    <w:p w14:paraId="01364EE7" w14:textId="77777777" w:rsidR="004E3B8C" w:rsidRPr="004E3B8C" w:rsidRDefault="004E3B8C" w:rsidP="004E3B8C">
      <w:pPr>
        <w:pStyle w:val="TEXTONORMAL"/>
        <w:numPr>
          <w:ilvl w:val="0"/>
          <w:numId w:val="38"/>
        </w:numPr>
        <w:ind w:left="998" w:hanging="284"/>
        <w:rPr>
          <w:bCs/>
        </w:rPr>
      </w:pPr>
      <w:r w:rsidRPr="004E3B8C">
        <w:rPr>
          <w:bCs/>
        </w:rPr>
        <w:t xml:space="preserve">Ley General de Educación. </w:t>
      </w:r>
    </w:p>
    <w:p w14:paraId="1B7DA633" w14:textId="77777777" w:rsidR="004E3B8C" w:rsidRPr="004E3B8C" w:rsidRDefault="004E3B8C" w:rsidP="004E3B8C">
      <w:pPr>
        <w:pStyle w:val="TEXTONORMAL"/>
        <w:numPr>
          <w:ilvl w:val="0"/>
          <w:numId w:val="38"/>
        </w:numPr>
        <w:ind w:left="998" w:hanging="284"/>
        <w:rPr>
          <w:bCs/>
        </w:rPr>
      </w:pPr>
      <w:r w:rsidRPr="004E3B8C">
        <w:rPr>
          <w:bCs/>
        </w:rPr>
        <w:t xml:space="preserve">Ley General de Mejora Regulatoria. </w:t>
      </w:r>
    </w:p>
    <w:p w14:paraId="3E5DA16F" w14:textId="77777777" w:rsidR="004E3B8C" w:rsidRPr="004E3B8C" w:rsidRDefault="004E3B8C" w:rsidP="004E3B8C">
      <w:pPr>
        <w:pStyle w:val="TEXTONORMAL"/>
        <w:numPr>
          <w:ilvl w:val="0"/>
          <w:numId w:val="38"/>
        </w:numPr>
        <w:ind w:left="998" w:hanging="284"/>
        <w:rPr>
          <w:bCs/>
        </w:rPr>
      </w:pPr>
      <w:r w:rsidRPr="004E3B8C">
        <w:rPr>
          <w:bCs/>
        </w:rPr>
        <w:t xml:space="preserve">Ley General de Prestación de Servicios para la Atención, Cuidado y Desarrollo Integral Infantil. </w:t>
      </w:r>
    </w:p>
    <w:p w14:paraId="2906F96D" w14:textId="77777777" w:rsidR="004E3B8C" w:rsidRPr="004E3B8C" w:rsidRDefault="004E3B8C" w:rsidP="004E3B8C">
      <w:pPr>
        <w:pStyle w:val="TEXTONORMAL"/>
        <w:numPr>
          <w:ilvl w:val="0"/>
          <w:numId w:val="38"/>
        </w:numPr>
        <w:ind w:left="998" w:hanging="284"/>
        <w:rPr>
          <w:bCs/>
        </w:rPr>
      </w:pPr>
      <w:r w:rsidRPr="004E3B8C">
        <w:rPr>
          <w:bCs/>
        </w:rPr>
        <w:t xml:space="preserve">Ley General de Protección de Datos Personales en Posesión de Sujetos Obligados. </w:t>
      </w:r>
    </w:p>
    <w:p w14:paraId="0B9BA185" w14:textId="77777777" w:rsidR="004E3B8C" w:rsidRPr="004E3B8C" w:rsidRDefault="004E3B8C" w:rsidP="004E3B8C">
      <w:pPr>
        <w:pStyle w:val="TEXTONORMAL"/>
        <w:numPr>
          <w:ilvl w:val="0"/>
          <w:numId w:val="38"/>
        </w:numPr>
        <w:ind w:left="998" w:hanging="284"/>
        <w:rPr>
          <w:bCs/>
        </w:rPr>
      </w:pPr>
      <w:r w:rsidRPr="004E3B8C">
        <w:rPr>
          <w:bCs/>
        </w:rPr>
        <w:t xml:space="preserve">Ley General de Responsabilidades Administrativas. </w:t>
      </w:r>
    </w:p>
    <w:p w14:paraId="6C901367" w14:textId="77777777" w:rsidR="004E3B8C" w:rsidRPr="004E3B8C" w:rsidRDefault="004E3B8C" w:rsidP="004E3B8C">
      <w:pPr>
        <w:pStyle w:val="TEXTONORMAL"/>
        <w:numPr>
          <w:ilvl w:val="0"/>
          <w:numId w:val="38"/>
        </w:numPr>
        <w:ind w:left="998" w:hanging="284"/>
        <w:rPr>
          <w:bCs/>
        </w:rPr>
      </w:pPr>
      <w:r w:rsidRPr="004E3B8C">
        <w:rPr>
          <w:bCs/>
        </w:rPr>
        <w:t xml:space="preserve">Ley General de Salud. </w:t>
      </w:r>
    </w:p>
    <w:p w14:paraId="6E453713" w14:textId="77777777" w:rsidR="004E3B8C" w:rsidRPr="004E3B8C" w:rsidRDefault="004E3B8C" w:rsidP="004E3B8C">
      <w:pPr>
        <w:pStyle w:val="TEXTONORMAL"/>
        <w:numPr>
          <w:ilvl w:val="0"/>
          <w:numId w:val="38"/>
        </w:numPr>
        <w:ind w:left="998" w:hanging="284"/>
        <w:rPr>
          <w:bCs/>
        </w:rPr>
      </w:pPr>
      <w:r w:rsidRPr="004E3B8C">
        <w:rPr>
          <w:bCs/>
        </w:rPr>
        <w:t xml:space="preserve">Ley General de Títulos y Operaciones de Crédito. </w:t>
      </w:r>
    </w:p>
    <w:p w14:paraId="705EBA07" w14:textId="77777777" w:rsidR="004E3B8C" w:rsidRPr="004E3B8C" w:rsidRDefault="004E3B8C" w:rsidP="004E3B8C">
      <w:pPr>
        <w:pStyle w:val="TEXTONORMAL"/>
        <w:numPr>
          <w:ilvl w:val="0"/>
          <w:numId w:val="38"/>
        </w:numPr>
        <w:ind w:left="998" w:hanging="284"/>
        <w:rPr>
          <w:bCs/>
        </w:rPr>
      </w:pPr>
      <w:r w:rsidRPr="004E3B8C">
        <w:rPr>
          <w:bCs/>
        </w:rPr>
        <w:t xml:space="preserve">Ley General de Transparencia y Acceso a la Información Pública. </w:t>
      </w:r>
    </w:p>
    <w:p w14:paraId="7D138E8F" w14:textId="77777777" w:rsidR="004E3B8C" w:rsidRPr="004E3B8C" w:rsidRDefault="004E3B8C" w:rsidP="004E3B8C">
      <w:pPr>
        <w:pStyle w:val="TEXTONORMAL"/>
        <w:numPr>
          <w:ilvl w:val="0"/>
          <w:numId w:val="38"/>
        </w:numPr>
        <w:ind w:left="998" w:hanging="284"/>
        <w:rPr>
          <w:bCs/>
        </w:rPr>
      </w:pPr>
      <w:r w:rsidRPr="004E3B8C">
        <w:rPr>
          <w:bCs/>
        </w:rPr>
        <w:t xml:space="preserve">Ley General de Víctimas. </w:t>
      </w:r>
    </w:p>
    <w:p w14:paraId="7250F311" w14:textId="77777777" w:rsidR="004E3B8C" w:rsidRPr="004E3B8C" w:rsidRDefault="004E3B8C" w:rsidP="004E3B8C">
      <w:pPr>
        <w:pStyle w:val="TEXTONORMAL"/>
        <w:numPr>
          <w:ilvl w:val="0"/>
          <w:numId w:val="38"/>
        </w:numPr>
        <w:ind w:left="998" w:hanging="284"/>
        <w:rPr>
          <w:bCs/>
        </w:rPr>
      </w:pPr>
      <w:r w:rsidRPr="004E3B8C">
        <w:rPr>
          <w:bCs/>
        </w:rPr>
        <w:t xml:space="preserve">Ley General del Sistema Nacional Anticorrupción. </w:t>
      </w:r>
    </w:p>
    <w:p w14:paraId="2689BB67" w14:textId="77777777" w:rsidR="004E3B8C" w:rsidRPr="004E3B8C" w:rsidRDefault="004E3B8C" w:rsidP="004E3B8C">
      <w:pPr>
        <w:pStyle w:val="TEXTONORMAL"/>
        <w:numPr>
          <w:ilvl w:val="0"/>
          <w:numId w:val="38"/>
        </w:numPr>
        <w:ind w:left="998" w:hanging="284"/>
        <w:rPr>
          <w:bCs/>
        </w:rPr>
      </w:pPr>
      <w:r w:rsidRPr="004E3B8C">
        <w:rPr>
          <w:bCs/>
        </w:rPr>
        <w:t xml:space="preserve">Ley General para la Igualdad entre Mujeres y Hombres. </w:t>
      </w:r>
    </w:p>
    <w:p w14:paraId="0CE72B5F" w14:textId="77777777" w:rsidR="004E3B8C" w:rsidRPr="004E3B8C" w:rsidRDefault="004E3B8C" w:rsidP="004E3B8C">
      <w:pPr>
        <w:pStyle w:val="TEXTONORMAL"/>
        <w:numPr>
          <w:ilvl w:val="0"/>
          <w:numId w:val="38"/>
        </w:numPr>
        <w:ind w:left="998" w:hanging="284"/>
        <w:rPr>
          <w:bCs/>
        </w:rPr>
      </w:pPr>
      <w:r w:rsidRPr="004E3B8C">
        <w:rPr>
          <w:bCs/>
        </w:rPr>
        <w:lastRenderedPageBreak/>
        <w:t xml:space="preserve">Ley General para la Inclusión de las Personas con Discapacidad. </w:t>
      </w:r>
    </w:p>
    <w:p w14:paraId="1B77A3E5" w14:textId="77777777" w:rsidR="004E3B8C" w:rsidRPr="004E3B8C" w:rsidRDefault="004E3B8C" w:rsidP="004E3B8C">
      <w:pPr>
        <w:pStyle w:val="TEXTONORMAL"/>
        <w:numPr>
          <w:ilvl w:val="0"/>
          <w:numId w:val="38"/>
        </w:numPr>
        <w:ind w:left="998" w:hanging="284"/>
        <w:rPr>
          <w:bCs/>
        </w:rPr>
      </w:pPr>
      <w:r w:rsidRPr="004E3B8C">
        <w:rPr>
          <w:bCs/>
        </w:rPr>
        <w:t xml:space="preserve">Ley Orgánica de la Administración Pública Federal. </w:t>
      </w:r>
    </w:p>
    <w:p w14:paraId="57D74D80" w14:textId="77777777" w:rsidR="004E3B8C" w:rsidRPr="004E3B8C" w:rsidRDefault="004E3B8C" w:rsidP="004E3B8C">
      <w:pPr>
        <w:pStyle w:val="TEXTONORMAL"/>
        <w:numPr>
          <w:ilvl w:val="0"/>
          <w:numId w:val="38"/>
        </w:numPr>
        <w:ind w:left="998" w:hanging="284"/>
        <w:rPr>
          <w:bCs/>
        </w:rPr>
      </w:pPr>
      <w:r w:rsidRPr="004E3B8C">
        <w:rPr>
          <w:bCs/>
        </w:rPr>
        <w:t xml:space="preserve">Ley Orgánica del Poder Judicial de la Federación. </w:t>
      </w:r>
    </w:p>
    <w:p w14:paraId="79C50203" w14:textId="77777777" w:rsidR="004E3B8C" w:rsidRPr="004E3B8C" w:rsidRDefault="004E3B8C" w:rsidP="004E3B8C">
      <w:pPr>
        <w:pStyle w:val="TEXTONORMAL"/>
        <w:numPr>
          <w:ilvl w:val="0"/>
          <w:numId w:val="38"/>
        </w:numPr>
        <w:ind w:left="998" w:hanging="284"/>
        <w:rPr>
          <w:bCs/>
        </w:rPr>
      </w:pPr>
      <w:r w:rsidRPr="004E3B8C">
        <w:rPr>
          <w:bCs/>
        </w:rPr>
        <w:t xml:space="preserve">Ley Orgánica del Tribunal Federal de Justicia Administrativa. </w:t>
      </w:r>
    </w:p>
    <w:p w14:paraId="15EB171E" w14:textId="77777777" w:rsidR="004E3B8C" w:rsidRPr="004E3B8C" w:rsidRDefault="004E3B8C" w:rsidP="004E3B8C">
      <w:pPr>
        <w:pStyle w:val="TEXTONORMAL"/>
        <w:numPr>
          <w:ilvl w:val="0"/>
          <w:numId w:val="38"/>
        </w:numPr>
        <w:ind w:left="998" w:hanging="284"/>
        <w:rPr>
          <w:bCs/>
        </w:rPr>
      </w:pPr>
      <w:r w:rsidRPr="004E3B8C">
        <w:rPr>
          <w:bCs/>
        </w:rPr>
        <w:t xml:space="preserve">Presupuesto de Egresos de la Federación para el Ejercicio Fiscal 2025. </w:t>
      </w:r>
    </w:p>
    <w:p w14:paraId="76E28E45" w14:textId="77777777" w:rsidR="004E3B8C" w:rsidRPr="004E3B8C" w:rsidRDefault="004E3B8C" w:rsidP="004E3B8C">
      <w:pPr>
        <w:pStyle w:val="TEXTONORMAL"/>
        <w:numPr>
          <w:ilvl w:val="0"/>
          <w:numId w:val="38"/>
        </w:numPr>
        <w:ind w:left="998" w:hanging="284"/>
        <w:rPr>
          <w:bCs/>
        </w:rPr>
      </w:pPr>
      <w:r w:rsidRPr="004E3B8C">
        <w:rPr>
          <w:bCs/>
        </w:rPr>
        <w:t xml:space="preserve">Código Civil Federal. </w:t>
      </w:r>
    </w:p>
    <w:p w14:paraId="6C78EBFE" w14:textId="77777777" w:rsidR="004E3B8C" w:rsidRPr="004E3B8C" w:rsidRDefault="004E3B8C" w:rsidP="004E3B8C">
      <w:pPr>
        <w:pStyle w:val="TEXTONORMAL"/>
        <w:numPr>
          <w:ilvl w:val="0"/>
          <w:numId w:val="38"/>
        </w:numPr>
        <w:ind w:left="998" w:hanging="284"/>
        <w:rPr>
          <w:bCs/>
        </w:rPr>
      </w:pPr>
      <w:r w:rsidRPr="004E3B8C">
        <w:rPr>
          <w:bCs/>
        </w:rPr>
        <w:t xml:space="preserve">Código de Comercio. </w:t>
      </w:r>
    </w:p>
    <w:p w14:paraId="76026415" w14:textId="77777777" w:rsidR="004E3B8C" w:rsidRPr="004E3B8C" w:rsidRDefault="004E3B8C" w:rsidP="004E3B8C">
      <w:pPr>
        <w:pStyle w:val="TEXTONORMAL"/>
        <w:numPr>
          <w:ilvl w:val="0"/>
          <w:numId w:val="38"/>
        </w:numPr>
        <w:ind w:left="998" w:hanging="284"/>
        <w:rPr>
          <w:bCs/>
        </w:rPr>
      </w:pPr>
      <w:r w:rsidRPr="004E3B8C">
        <w:rPr>
          <w:bCs/>
        </w:rPr>
        <w:t xml:space="preserve">Código Federal de Procedimientos Civiles. </w:t>
      </w:r>
    </w:p>
    <w:p w14:paraId="54C680B9" w14:textId="77777777" w:rsidR="004E3B8C" w:rsidRPr="004E3B8C" w:rsidRDefault="004E3B8C" w:rsidP="004E3B8C">
      <w:pPr>
        <w:pStyle w:val="TEXTONORMAL"/>
        <w:numPr>
          <w:ilvl w:val="0"/>
          <w:numId w:val="38"/>
        </w:numPr>
        <w:ind w:left="998" w:hanging="284"/>
        <w:rPr>
          <w:bCs/>
        </w:rPr>
      </w:pPr>
      <w:r w:rsidRPr="004E3B8C">
        <w:rPr>
          <w:bCs/>
        </w:rPr>
        <w:t xml:space="preserve">Código Fiscal de la Federación. </w:t>
      </w:r>
    </w:p>
    <w:p w14:paraId="5E45263A" w14:textId="77777777" w:rsidR="004E3B8C" w:rsidRPr="004E3B8C" w:rsidRDefault="004E3B8C" w:rsidP="004E3B8C">
      <w:pPr>
        <w:pStyle w:val="TEXTONORMAL"/>
        <w:numPr>
          <w:ilvl w:val="0"/>
          <w:numId w:val="38"/>
        </w:numPr>
        <w:ind w:left="998" w:hanging="284"/>
        <w:rPr>
          <w:bCs/>
        </w:rPr>
      </w:pPr>
      <w:r w:rsidRPr="004E3B8C">
        <w:rPr>
          <w:bCs/>
        </w:rPr>
        <w:t xml:space="preserve">Código Nacional de Procedimientos Penales. </w:t>
      </w:r>
    </w:p>
    <w:p w14:paraId="1DD863ED" w14:textId="77777777" w:rsidR="004E3B8C" w:rsidRPr="004E3B8C" w:rsidRDefault="004E3B8C" w:rsidP="004E3B8C">
      <w:pPr>
        <w:pStyle w:val="TEXTONORMAL"/>
        <w:numPr>
          <w:ilvl w:val="0"/>
          <w:numId w:val="38"/>
        </w:numPr>
        <w:ind w:left="998" w:hanging="284"/>
        <w:rPr>
          <w:bCs/>
        </w:rPr>
      </w:pPr>
      <w:r w:rsidRPr="004E3B8C">
        <w:rPr>
          <w:bCs/>
        </w:rPr>
        <w:t xml:space="preserve">Código Penal Federal. </w:t>
      </w:r>
    </w:p>
    <w:p w14:paraId="117E414F" w14:textId="77777777" w:rsidR="004E3B8C" w:rsidRPr="004E3B8C" w:rsidRDefault="004E3B8C" w:rsidP="004E3B8C">
      <w:pPr>
        <w:pStyle w:val="TEXTONORMAL"/>
        <w:numPr>
          <w:ilvl w:val="0"/>
          <w:numId w:val="38"/>
        </w:numPr>
        <w:ind w:left="998" w:hanging="284"/>
        <w:rPr>
          <w:bCs/>
        </w:rPr>
      </w:pPr>
      <w:r w:rsidRPr="004E3B8C">
        <w:rPr>
          <w:bCs/>
        </w:rPr>
        <w:t xml:space="preserve">Reglamento de la Ley de Adquisiciones, Arrendamientos y Servicios del Sector Público. </w:t>
      </w:r>
    </w:p>
    <w:p w14:paraId="339C2EBE" w14:textId="77777777" w:rsidR="004E3B8C" w:rsidRPr="004E3B8C" w:rsidRDefault="004E3B8C" w:rsidP="004E3B8C">
      <w:pPr>
        <w:pStyle w:val="TEXTONORMAL"/>
        <w:numPr>
          <w:ilvl w:val="0"/>
          <w:numId w:val="38"/>
        </w:numPr>
        <w:ind w:left="998" w:hanging="284"/>
        <w:rPr>
          <w:bCs/>
        </w:rPr>
      </w:pPr>
      <w:r w:rsidRPr="004E3B8C">
        <w:rPr>
          <w:bCs/>
        </w:rPr>
        <w:t xml:space="preserve">Reglamento de la Ley de Obras Públicas y Servicios Relacionados con las Mismas. </w:t>
      </w:r>
    </w:p>
    <w:p w14:paraId="09BA0DF6" w14:textId="77777777" w:rsidR="004E3B8C" w:rsidRPr="004E3B8C" w:rsidRDefault="004E3B8C" w:rsidP="004E3B8C">
      <w:pPr>
        <w:pStyle w:val="TEXTONORMAL"/>
        <w:numPr>
          <w:ilvl w:val="0"/>
          <w:numId w:val="38"/>
        </w:numPr>
        <w:ind w:left="998" w:hanging="284"/>
        <w:rPr>
          <w:bCs/>
        </w:rPr>
      </w:pPr>
      <w:r w:rsidRPr="004E3B8C">
        <w:rPr>
          <w:bCs/>
        </w:rPr>
        <w:t xml:space="preserve">Reglamento de la Ley de Tesorería de la Federación. </w:t>
      </w:r>
    </w:p>
    <w:p w14:paraId="41B64F2A" w14:textId="77777777" w:rsidR="004E3B8C" w:rsidRPr="004E3B8C" w:rsidRDefault="004E3B8C" w:rsidP="004E3B8C">
      <w:pPr>
        <w:pStyle w:val="TEXTONORMAL"/>
        <w:numPr>
          <w:ilvl w:val="0"/>
          <w:numId w:val="38"/>
        </w:numPr>
        <w:ind w:left="998" w:hanging="284"/>
        <w:rPr>
          <w:bCs/>
        </w:rPr>
      </w:pPr>
      <w:r w:rsidRPr="004E3B8C">
        <w:rPr>
          <w:bCs/>
        </w:rPr>
        <w:t xml:space="preserve">Reglamento de la Ley del Impuesto al Valor Agregado. </w:t>
      </w:r>
    </w:p>
    <w:p w14:paraId="0A07CBF6" w14:textId="77777777" w:rsidR="004E3B8C" w:rsidRPr="004E3B8C" w:rsidRDefault="004E3B8C" w:rsidP="004E3B8C">
      <w:pPr>
        <w:pStyle w:val="TEXTONORMAL"/>
        <w:numPr>
          <w:ilvl w:val="0"/>
          <w:numId w:val="38"/>
        </w:numPr>
        <w:ind w:left="998" w:hanging="284"/>
        <w:rPr>
          <w:bCs/>
        </w:rPr>
      </w:pPr>
      <w:r w:rsidRPr="004E3B8C">
        <w:rPr>
          <w:bCs/>
        </w:rPr>
        <w:t>Reglamento de la Ley del Impuesto Especial sobre Producción y Servicios</w:t>
      </w:r>
    </w:p>
    <w:p w14:paraId="68285DB4" w14:textId="77777777" w:rsidR="004E3B8C" w:rsidRPr="004E3B8C" w:rsidRDefault="004E3B8C" w:rsidP="004E3B8C">
      <w:pPr>
        <w:pStyle w:val="TEXTONORMAL"/>
        <w:numPr>
          <w:ilvl w:val="0"/>
          <w:numId w:val="38"/>
        </w:numPr>
        <w:ind w:left="998" w:hanging="284"/>
        <w:rPr>
          <w:bCs/>
        </w:rPr>
      </w:pPr>
      <w:r w:rsidRPr="004E3B8C">
        <w:rPr>
          <w:bCs/>
        </w:rPr>
        <w:t xml:space="preserve">Reglamento de la Ley del Impuesto Sobre la Renta. </w:t>
      </w:r>
    </w:p>
    <w:p w14:paraId="6F9FAB36" w14:textId="77777777" w:rsidR="004E3B8C" w:rsidRPr="004E3B8C" w:rsidRDefault="004E3B8C" w:rsidP="004E3B8C">
      <w:pPr>
        <w:pStyle w:val="TEXTONORMAL"/>
        <w:numPr>
          <w:ilvl w:val="0"/>
          <w:numId w:val="38"/>
        </w:numPr>
        <w:ind w:left="998" w:hanging="284"/>
        <w:rPr>
          <w:bCs/>
        </w:rPr>
      </w:pPr>
      <w:r w:rsidRPr="004E3B8C">
        <w:rPr>
          <w:bCs/>
        </w:rPr>
        <w:t xml:space="preserve">Reglamento de la Ley del Seguro Social en Materia de Afiliación, Clasificación de Empresas, Recaudación y Fiscalización. </w:t>
      </w:r>
    </w:p>
    <w:p w14:paraId="5B783B3D" w14:textId="77777777" w:rsidR="004E3B8C" w:rsidRPr="004E3B8C" w:rsidRDefault="004E3B8C" w:rsidP="004E3B8C">
      <w:pPr>
        <w:pStyle w:val="TEXTONORMAL"/>
        <w:numPr>
          <w:ilvl w:val="0"/>
          <w:numId w:val="38"/>
        </w:numPr>
        <w:ind w:left="998" w:hanging="284"/>
        <w:rPr>
          <w:bCs/>
        </w:rPr>
      </w:pPr>
      <w:r w:rsidRPr="004E3B8C">
        <w:rPr>
          <w:bCs/>
        </w:rPr>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w:t>
      </w:r>
    </w:p>
    <w:p w14:paraId="2E85807B" w14:textId="77777777" w:rsidR="004E3B8C" w:rsidRPr="004E3B8C" w:rsidRDefault="004E3B8C" w:rsidP="004E3B8C">
      <w:pPr>
        <w:pStyle w:val="TEXTONORMAL"/>
        <w:numPr>
          <w:ilvl w:val="0"/>
          <w:numId w:val="38"/>
        </w:numPr>
        <w:ind w:left="998" w:hanging="284"/>
        <w:rPr>
          <w:bCs/>
        </w:rPr>
      </w:pPr>
      <w:r w:rsidRPr="004E3B8C">
        <w:rPr>
          <w:bCs/>
        </w:rPr>
        <w:t xml:space="preserve">Reglamento de la Ley del Seguro Social, en materia de administración y enajenación de bienes adjudicados con motivo de la aplicación del procedimiento administrativo de ejecución. </w:t>
      </w:r>
    </w:p>
    <w:p w14:paraId="529EC90C" w14:textId="77777777" w:rsidR="004E3B8C" w:rsidRPr="004E3B8C" w:rsidRDefault="004E3B8C" w:rsidP="004E3B8C">
      <w:pPr>
        <w:pStyle w:val="TEXTONORMAL"/>
        <w:numPr>
          <w:ilvl w:val="0"/>
          <w:numId w:val="38"/>
        </w:numPr>
        <w:ind w:left="998" w:hanging="284"/>
        <w:rPr>
          <w:bCs/>
        </w:rPr>
      </w:pPr>
      <w:r w:rsidRPr="004E3B8C">
        <w:rPr>
          <w:bCs/>
        </w:rPr>
        <w:t xml:space="preserve">Reglamento de la Ley Federal de Archivos. </w:t>
      </w:r>
    </w:p>
    <w:p w14:paraId="3093AD73" w14:textId="77777777" w:rsidR="004E3B8C" w:rsidRPr="004E3B8C" w:rsidRDefault="004E3B8C" w:rsidP="004E3B8C">
      <w:pPr>
        <w:pStyle w:val="TEXTONORMAL"/>
        <w:numPr>
          <w:ilvl w:val="0"/>
          <w:numId w:val="38"/>
        </w:numPr>
        <w:ind w:left="998" w:hanging="284"/>
        <w:rPr>
          <w:bCs/>
        </w:rPr>
      </w:pPr>
      <w:r w:rsidRPr="004E3B8C">
        <w:rPr>
          <w:bCs/>
        </w:rPr>
        <w:t xml:space="preserve">Reglamento de la Ley Federal de las Entidades Paraestatales. </w:t>
      </w:r>
    </w:p>
    <w:p w14:paraId="2C71D152" w14:textId="77777777" w:rsidR="004E3B8C" w:rsidRPr="004E3B8C" w:rsidRDefault="004E3B8C" w:rsidP="004E3B8C">
      <w:pPr>
        <w:pStyle w:val="TEXTONORMAL"/>
        <w:numPr>
          <w:ilvl w:val="0"/>
          <w:numId w:val="38"/>
        </w:numPr>
        <w:ind w:left="998" w:hanging="284"/>
        <w:rPr>
          <w:bCs/>
        </w:rPr>
      </w:pPr>
      <w:r w:rsidRPr="004E3B8C">
        <w:rPr>
          <w:bCs/>
        </w:rPr>
        <w:t xml:space="preserve">Reglamento de la Ley Federal de Presupuesto y Responsabilidad Hacendaria. </w:t>
      </w:r>
    </w:p>
    <w:p w14:paraId="257807A3" w14:textId="77777777" w:rsidR="004E3B8C" w:rsidRPr="004E3B8C" w:rsidRDefault="004E3B8C" w:rsidP="004E3B8C">
      <w:pPr>
        <w:pStyle w:val="TEXTONORMAL"/>
        <w:numPr>
          <w:ilvl w:val="0"/>
          <w:numId w:val="38"/>
        </w:numPr>
        <w:ind w:left="998" w:hanging="284"/>
        <w:rPr>
          <w:bCs/>
        </w:rPr>
      </w:pPr>
      <w:r w:rsidRPr="004E3B8C">
        <w:rPr>
          <w:bCs/>
        </w:rPr>
        <w:lastRenderedPageBreak/>
        <w:t xml:space="preserve">Reglamento de la Ley Federal de Transparencia y Acceso a la Información Pública Gubernamental. </w:t>
      </w:r>
    </w:p>
    <w:p w14:paraId="08C9D1AF" w14:textId="77777777" w:rsidR="004E3B8C" w:rsidRPr="004E3B8C" w:rsidRDefault="004E3B8C" w:rsidP="004E3B8C">
      <w:pPr>
        <w:pStyle w:val="TEXTONORMAL"/>
        <w:numPr>
          <w:ilvl w:val="0"/>
          <w:numId w:val="38"/>
        </w:numPr>
        <w:ind w:left="998" w:hanging="284"/>
        <w:rPr>
          <w:bCs/>
        </w:rPr>
      </w:pPr>
      <w:r w:rsidRPr="004E3B8C">
        <w:rPr>
          <w:bCs/>
        </w:rPr>
        <w:t xml:space="preserve">Reglamento de la Ley Federal Sobre Metrología y Normalización. </w:t>
      </w:r>
    </w:p>
    <w:p w14:paraId="417DD568"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de Acceso de las Mujeres a una Vida Libre de Violencia. </w:t>
      </w:r>
    </w:p>
    <w:p w14:paraId="1370BE6A"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de Prestación de Servicios para la Atención, Cuidado y Desarrollo Integral Infantil. </w:t>
      </w:r>
    </w:p>
    <w:p w14:paraId="6745B4DC"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de Salud en Materia de Control Sanitario de la Disposición de Órganos, Tejidos y Cadáveres de Seres Humanos. </w:t>
      </w:r>
    </w:p>
    <w:p w14:paraId="78383948"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de Salud en Materia de Prestación de Servicios de Atención Médica. </w:t>
      </w:r>
    </w:p>
    <w:p w14:paraId="1FFA6570"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de Salud en Materia de Protección Social en Salud. </w:t>
      </w:r>
    </w:p>
    <w:p w14:paraId="64122AEA"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de Salud en Materia de Trasplantes. </w:t>
      </w:r>
    </w:p>
    <w:p w14:paraId="280539D0"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de Víctimas. </w:t>
      </w:r>
    </w:p>
    <w:p w14:paraId="6B879C21" w14:textId="77777777" w:rsidR="004E3B8C" w:rsidRPr="004E3B8C" w:rsidRDefault="004E3B8C" w:rsidP="004E3B8C">
      <w:pPr>
        <w:pStyle w:val="TEXTONORMAL"/>
        <w:numPr>
          <w:ilvl w:val="0"/>
          <w:numId w:val="38"/>
        </w:numPr>
        <w:ind w:left="998" w:hanging="284"/>
        <w:rPr>
          <w:bCs/>
        </w:rPr>
      </w:pPr>
      <w:r w:rsidRPr="004E3B8C">
        <w:rPr>
          <w:bCs/>
        </w:rPr>
        <w:t xml:space="preserve">Reglamento de la Ley General para la Inclusión de las Personas con Discapacidad. </w:t>
      </w:r>
    </w:p>
    <w:p w14:paraId="4C7D8756" w14:textId="77777777" w:rsidR="004E3B8C" w:rsidRPr="004E3B8C" w:rsidRDefault="004E3B8C" w:rsidP="004E3B8C">
      <w:pPr>
        <w:pStyle w:val="TEXTONORMAL"/>
        <w:numPr>
          <w:ilvl w:val="0"/>
          <w:numId w:val="38"/>
        </w:numPr>
        <w:ind w:left="998" w:hanging="284"/>
        <w:rPr>
          <w:bCs/>
        </w:rPr>
      </w:pPr>
      <w:r w:rsidRPr="004E3B8C">
        <w:rPr>
          <w:bCs/>
        </w:rPr>
        <w:t xml:space="preserve">Reglamento de Prestaciones Médicas del Instituto Mexicano del Seguro Social. </w:t>
      </w:r>
    </w:p>
    <w:p w14:paraId="06BDD712" w14:textId="77777777" w:rsidR="004E3B8C" w:rsidRPr="004E3B8C" w:rsidRDefault="004E3B8C" w:rsidP="004E3B8C">
      <w:pPr>
        <w:pStyle w:val="TEXTONORMAL"/>
        <w:numPr>
          <w:ilvl w:val="0"/>
          <w:numId w:val="38"/>
        </w:numPr>
        <w:ind w:left="998" w:hanging="284"/>
        <w:rPr>
          <w:bCs/>
        </w:rPr>
      </w:pPr>
      <w:r w:rsidRPr="004E3B8C">
        <w:rPr>
          <w:bCs/>
        </w:rPr>
        <w:t xml:space="preserve">Reglamento del Código Fiscal de la Federación. </w:t>
      </w:r>
    </w:p>
    <w:p w14:paraId="3BF08570" w14:textId="77777777" w:rsidR="004E3B8C" w:rsidRPr="004E3B8C" w:rsidRDefault="004E3B8C" w:rsidP="004E3B8C">
      <w:pPr>
        <w:pStyle w:val="TEXTONORMAL"/>
        <w:numPr>
          <w:ilvl w:val="0"/>
          <w:numId w:val="38"/>
        </w:numPr>
        <w:ind w:left="998" w:hanging="284"/>
        <w:rPr>
          <w:bCs/>
        </w:rPr>
      </w:pPr>
      <w:r w:rsidRPr="004E3B8C">
        <w:rPr>
          <w:bCs/>
        </w:rPr>
        <w:t xml:space="preserve">Reglamento del Seguro Social Obligatorio para los Trabajadores de la Construcción por Obra o Tiempo Determinado. </w:t>
      </w:r>
    </w:p>
    <w:p w14:paraId="680D853D" w14:textId="153BE07F" w:rsidR="0002360D" w:rsidRPr="004E3B8C" w:rsidRDefault="004E3B8C" w:rsidP="004E3B8C">
      <w:pPr>
        <w:pStyle w:val="TEXTONORMAL"/>
        <w:numPr>
          <w:ilvl w:val="0"/>
          <w:numId w:val="38"/>
        </w:numPr>
        <w:ind w:left="998" w:hanging="284"/>
        <w:rPr>
          <w:bCs/>
        </w:rPr>
      </w:pPr>
      <w:r w:rsidRPr="004E3B8C">
        <w:rPr>
          <w:bCs/>
        </w:rPr>
        <w:t>Reglamento Interior del Instituto Mexicano del Seguro Social.</w:t>
      </w:r>
    </w:p>
    <w:p w14:paraId="69BD7429" w14:textId="77777777" w:rsidR="0002360D" w:rsidRPr="004E3B8C" w:rsidRDefault="0002360D" w:rsidP="004E3B8C">
      <w:pPr>
        <w:spacing w:after="120" w:line="250" w:lineRule="exact"/>
        <w:jc w:val="both"/>
        <w:rPr>
          <w:rFonts w:ascii="Noto Sans" w:hAnsi="Noto Sans" w:cs="Noto Sans"/>
          <w:sz w:val="18"/>
          <w:szCs w:val="18"/>
        </w:rPr>
      </w:pPr>
    </w:p>
    <w:p w14:paraId="241E4487" w14:textId="77777777" w:rsidR="0002360D" w:rsidRPr="00655E4E" w:rsidRDefault="0002360D" w:rsidP="0002360D">
      <w:pPr>
        <w:spacing w:after="120" w:line="250" w:lineRule="exact"/>
        <w:ind w:left="714"/>
        <w:jc w:val="both"/>
        <w:rPr>
          <w:rFonts w:ascii="Noto Sans" w:hAnsi="Noto Sans" w:cs="Noto Sans"/>
          <w:sz w:val="18"/>
          <w:szCs w:val="18"/>
        </w:rPr>
      </w:pPr>
      <w:r w:rsidRPr="00655E4E">
        <w:rPr>
          <w:rFonts w:ascii="Noto Sans" w:hAnsi="Noto Sans" w:cs="Noto Sans"/>
          <w:sz w:val="18"/>
          <w:szCs w:val="18"/>
        </w:rPr>
        <w:t>Así como de:</w:t>
      </w:r>
    </w:p>
    <w:p w14:paraId="3837BDA5" w14:textId="3AD0CBA5"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Acuerdos del H. Consejo Técnico</w:t>
      </w:r>
      <w:r w:rsidR="00931CB0">
        <w:rPr>
          <w:rFonts w:ascii="Noto Sans" w:hAnsi="Noto Sans" w:cs="Noto Sans"/>
          <w:sz w:val="18"/>
          <w:szCs w:val="18"/>
        </w:rPr>
        <w:t>.</w:t>
      </w:r>
    </w:p>
    <w:p w14:paraId="4D732B2C" w14:textId="77214F41"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Decretos del Gobierno Federal</w:t>
      </w:r>
      <w:r w:rsidR="00931CB0">
        <w:rPr>
          <w:rFonts w:ascii="Noto Sans" w:hAnsi="Noto Sans" w:cs="Noto Sans"/>
          <w:sz w:val="18"/>
          <w:szCs w:val="18"/>
        </w:rPr>
        <w:t>.</w:t>
      </w:r>
    </w:p>
    <w:p w14:paraId="564C14B8" w14:textId="53EA7A68"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Resolución Miscelánea Fiscal y sus modificaciones</w:t>
      </w:r>
      <w:r w:rsidR="00931CB0">
        <w:rPr>
          <w:rFonts w:ascii="Noto Sans" w:hAnsi="Noto Sans" w:cs="Noto Sans"/>
          <w:sz w:val="18"/>
          <w:szCs w:val="18"/>
        </w:rPr>
        <w:t>.</w:t>
      </w:r>
    </w:p>
    <w:p w14:paraId="3FC3B999" w14:textId="6566C31E"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Marco conceptual de Contabilidad Gubernamental</w:t>
      </w:r>
      <w:r w:rsidR="00931CB0">
        <w:rPr>
          <w:rFonts w:ascii="Noto Sans" w:hAnsi="Noto Sans" w:cs="Noto Sans"/>
          <w:sz w:val="18"/>
          <w:szCs w:val="18"/>
        </w:rPr>
        <w:t>.</w:t>
      </w:r>
    </w:p>
    <w:p w14:paraId="52B40BDB" w14:textId="32583FD9"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Manual de Contabilidad Gubernamental para el Sector Paraestatal Federal</w:t>
      </w:r>
      <w:r w:rsidR="00931CB0">
        <w:rPr>
          <w:rFonts w:ascii="Noto Sans" w:hAnsi="Noto Sans" w:cs="Noto Sans"/>
          <w:sz w:val="18"/>
          <w:szCs w:val="18"/>
        </w:rPr>
        <w:t>.</w:t>
      </w:r>
    </w:p>
    <w:p w14:paraId="6037B243" w14:textId="7E963B86" w:rsidR="0002360D" w:rsidRPr="00655E4E"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Lineamientos contables del MCGSPF</w:t>
      </w:r>
      <w:r w:rsidR="00931CB0">
        <w:rPr>
          <w:rFonts w:ascii="Noto Sans" w:hAnsi="Noto Sans" w:cs="Noto Sans"/>
          <w:sz w:val="18"/>
          <w:szCs w:val="18"/>
        </w:rPr>
        <w:t>.</w:t>
      </w:r>
    </w:p>
    <w:p w14:paraId="53BEAF25" w14:textId="77777777" w:rsidR="0002360D" w:rsidRDefault="0002360D" w:rsidP="00D06BE8">
      <w:pPr>
        <w:pStyle w:val="Prrafodelista"/>
        <w:numPr>
          <w:ilvl w:val="0"/>
          <w:numId w:val="41"/>
        </w:numPr>
        <w:spacing w:after="120" w:line="250" w:lineRule="exact"/>
        <w:ind w:left="998" w:hanging="284"/>
        <w:contextualSpacing w:val="0"/>
        <w:jc w:val="both"/>
        <w:rPr>
          <w:rFonts w:ascii="Noto Sans" w:hAnsi="Noto Sans" w:cs="Noto Sans"/>
          <w:sz w:val="18"/>
          <w:szCs w:val="18"/>
        </w:rPr>
      </w:pPr>
      <w:r w:rsidRPr="00655E4E">
        <w:rPr>
          <w:rFonts w:ascii="Noto Sans" w:hAnsi="Noto Sans" w:cs="Noto Sans"/>
          <w:sz w:val="18"/>
          <w:szCs w:val="18"/>
        </w:rPr>
        <w:t>Normas de Información Financiera del Consejo Mexicano de Normas de Información Financiera, A. C.</w:t>
      </w:r>
    </w:p>
    <w:p w14:paraId="4EEF4758" w14:textId="77777777" w:rsidR="00C210FF" w:rsidRDefault="00C210FF" w:rsidP="00C210FF">
      <w:pPr>
        <w:pStyle w:val="Prrafodelista"/>
        <w:spacing w:after="120" w:line="250" w:lineRule="exact"/>
        <w:ind w:left="998"/>
        <w:contextualSpacing w:val="0"/>
        <w:jc w:val="both"/>
        <w:rPr>
          <w:rFonts w:ascii="Noto Sans" w:hAnsi="Noto Sans" w:cs="Noto Sans"/>
          <w:sz w:val="18"/>
          <w:szCs w:val="18"/>
        </w:rPr>
      </w:pPr>
    </w:p>
    <w:p w14:paraId="5552137A" w14:textId="77777777" w:rsidR="0002360D" w:rsidRPr="00ED760F" w:rsidRDefault="0002360D" w:rsidP="0002360D">
      <w:pPr>
        <w:spacing w:after="120" w:line="250" w:lineRule="exact"/>
        <w:jc w:val="both"/>
        <w:rPr>
          <w:rFonts w:ascii="Noto Sans" w:hAnsi="Noto Sans" w:cs="Noto Sans"/>
          <w:sz w:val="18"/>
          <w:szCs w:val="18"/>
        </w:rPr>
      </w:pPr>
    </w:p>
    <w:p w14:paraId="48C224E2" w14:textId="77777777" w:rsidR="0002360D" w:rsidRDefault="0002360D" w:rsidP="0002360D">
      <w:pPr>
        <w:pStyle w:val="TEXTONORMAL"/>
      </w:pPr>
      <w:r>
        <w:lastRenderedPageBreak/>
        <w:t>Se resaltan los siguientes puntos mencionados en la LSS:</w:t>
      </w:r>
    </w:p>
    <w:p w14:paraId="32F2B2B5" w14:textId="77777777" w:rsidR="00857F08" w:rsidRDefault="00857F08" w:rsidP="0002360D">
      <w:pPr>
        <w:pStyle w:val="TEXTONORMAL"/>
      </w:pPr>
    </w:p>
    <w:p w14:paraId="5B0DCBB7" w14:textId="5B57EB54" w:rsidR="0002360D" w:rsidRDefault="00D264DA" w:rsidP="00D06BE8">
      <w:pPr>
        <w:pStyle w:val="VIETAFLECHA"/>
        <w:numPr>
          <w:ilvl w:val="0"/>
          <w:numId w:val="42"/>
        </w:numPr>
        <w:ind w:left="998" w:hanging="284"/>
      </w:pPr>
      <w:r>
        <w:t xml:space="preserve">1. </w:t>
      </w:r>
      <w:r w:rsidR="0002360D">
        <w:t>Ramos de seguro</w:t>
      </w:r>
    </w:p>
    <w:p w14:paraId="3B4D0E9C" w14:textId="77777777" w:rsidR="0002360D" w:rsidRDefault="0002360D" w:rsidP="005D0C96">
      <w:pPr>
        <w:pStyle w:val="TEXTONORMAL"/>
      </w:pPr>
      <w:r>
        <w:t xml:space="preserve">El Seguro Social comprende: </w:t>
      </w:r>
    </w:p>
    <w:p w14:paraId="16365C6D" w14:textId="77777777" w:rsidR="0002360D" w:rsidRDefault="0002360D" w:rsidP="005D0C96">
      <w:pPr>
        <w:pStyle w:val="TEXTONORMAL"/>
        <w:ind w:firstLine="170"/>
      </w:pPr>
      <w:r>
        <w:t xml:space="preserve">El régimen obligatorio, y </w:t>
      </w:r>
    </w:p>
    <w:p w14:paraId="3E848EB3" w14:textId="77777777" w:rsidR="0002360D" w:rsidRDefault="0002360D" w:rsidP="005D0C96">
      <w:pPr>
        <w:pStyle w:val="TEXTONORMAL"/>
        <w:ind w:firstLine="170"/>
      </w:pPr>
      <w:r>
        <w:t>El régimen voluntario.</w:t>
      </w:r>
    </w:p>
    <w:p w14:paraId="7E633F57" w14:textId="77777777" w:rsidR="0002360D" w:rsidRDefault="0002360D" w:rsidP="005D0C96">
      <w:pPr>
        <w:pStyle w:val="TEXTONORMAL"/>
      </w:pPr>
      <w:r>
        <w:t xml:space="preserve">El régimen obligatorio comprende los seguros de: </w:t>
      </w:r>
    </w:p>
    <w:p w14:paraId="4081F666" w14:textId="77777777" w:rsidR="0002360D" w:rsidRDefault="0002360D" w:rsidP="005D0C96">
      <w:pPr>
        <w:pStyle w:val="TEXTONORMAL"/>
        <w:ind w:firstLine="170"/>
      </w:pPr>
      <w:r>
        <w:t xml:space="preserve">Riesgos de trabajo; </w:t>
      </w:r>
    </w:p>
    <w:p w14:paraId="54D68264" w14:textId="77777777" w:rsidR="0002360D" w:rsidRDefault="0002360D" w:rsidP="005D0C96">
      <w:pPr>
        <w:pStyle w:val="TEXTONORMAL"/>
        <w:ind w:firstLine="170"/>
      </w:pPr>
      <w:r>
        <w:t xml:space="preserve">Enfermedad y maternidad; </w:t>
      </w:r>
    </w:p>
    <w:p w14:paraId="44552047" w14:textId="77777777" w:rsidR="0002360D" w:rsidRDefault="0002360D" w:rsidP="005D0C96">
      <w:pPr>
        <w:pStyle w:val="TEXTONORMAL"/>
        <w:ind w:firstLine="170"/>
      </w:pPr>
      <w:r>
        <w:t xml:space="preserve">Invalidez y vida; </w:t>
      </w:r>
    </w:p>
    <w:p w14:paraId="10C4177E" w14:textId="77777777" w:rsidR="0002360D" w:rsidRDefault="0002360D" w:rsidP="005D0C96">
      <w:pPr>
        <w:pStyle w:val="TEXTONORMAL"/>
        <w:ind w:firstLine="170"/>
      </w:pPr>
      <w:r>
        <w:t xml:space="preserve">Retiro, cesantía en edad avanzada y vejez, y </w:t>
      </w:r>
    </w:p>
    <w:p w14:paraId="4DC5EC21" w14:textId="77777777" w:rsidR="0002360D" w:rsidRDefault="0002360D" w:rsidP="005D0C96">
      <w:pPr>
        <w:pStyle w:val="TEXTONORMAL"/>
        <w:ind w:firstLine="170"/>
      </w:pPr>
      <w:r>
        <w:t>Guarderías y prestaciones sociales.</w:t>
      </w:r>
    </w:p>
    <w:p w14:paraId="3D008009" w14:textId="77777777" w:rsidR="0002360D" w:rsidRDefault="0002360D" w:rsidP="0002360D">
      <w:pPr>
        <w:pStyle w:val="TEXTONORMAL"/>
      </w:pPr>
      <w:r>
        <w:t>La incorporación voluntaria en el régimen obligatorio se realizará por convenio y considera las prestaciones en especie y en dinero de los ramos de seguro, establecidos en el esquema de aseguramiento previsto para los sujetos señalados en el artículo 13 de la LSS.</w:t>
      </w:r>
    </w:p>
    <w:p w14:paraId="573CAF23" w14:textId="77777777" w:rsidR="0002360D" w:rsidRDefault="0002360D" w:rsidP="005D0C96">
      <w:pPr>
        <w:pStyle w:val="TEXTONORMAL"/>
      </w:pPr>
      <w:r>
        <w:t>El régimen voluntario, previsto en el Título Tercero de la LSS, comprende los seguros de:</w:t>
      </w:r>
    </w:p>
    <w:p w14:paraId="4E17B1B3" w14:textId="77777777" w:rsidR="0002360D" w:rsidRDefault="0002360D" w:rsidP="005D0C96">
      <w:pPr>
        <w:pStyle w:val="TEXTONORMAL"/>
        <w:ind w:firstLine="170"/>
      </w:pPr>
      <w:r>
        <w:t>Salud para la Familia;</w:t>
      </w:r>
    </w:p>
    <w:p w14:paraId="7E08EDA6" w14:textId="77777777" w:rsidR="0002360D" w:rsidRDefault="0002360D" w:rsidP="005D0C96">
      <w:pPr>
        <w:pStyle w:val="TEXTONORMAL"/>
        <w:ind w:firstLine="170"/>
      </w:pPr>
      <w:r>
        <w:t>Adicionales, y</w:t>
      </w:r>
    </w:p>
    <w:p w14:paraId="37920067" w14:textId="77777777" w:rsidR="0002360D" w:rsidRDefault="0002360D" w:rsidP="005D0C96">
      <w:pPr>
        <w:pStyle w:val="TEXTONORMAL"/>
        <w:ind w:firstLine="170"/>
      </w:pPr>
      <w:r>
        <w:t>Otros</w:t>
      </w:r>
    </w:p>
    <w:p w14:paraId="639F6F80" w14:textId="77777777" w:rsidR="00857F08" w:rsidRDefault="00857F08" w:rsidP="005D0C96">
      <w:pPr>
        <w:pStyle w:val="TEXTONORMAL"/>
        <w:ind w:firstLine="170"/>
      </w:pPr>
    </w:p>
    <w:p w14:paraId="77263613" w14:textId="13BC72A1" w:rsidR="0002360D" w:rsidRPr="00DE6B19" w:rsidRDefault="00D264DA" w:rsidP="00D06BE8">
      <w:pPr>
        <w:pStyle w:val="VIETAFLECHA"/>
        <w:numPr>
          <w:ilvl w:val="0"/>
          <w:numId w:val="42"/>
        </w:numPr>
        <w:ind w:left="998" w:hanging="284"/>
        <w:rPr>
          <w:lang w:val="es-ES"/>
        </w:rPr>
      </w:pPr>
      <w:r w:rsidRPr="0030010A">
        <w:t xml:space="preserve">2. </w:t>
      </w:r>
      <w:r w:rsidR="0002360D" w:rsidRPr="0030010A">
        <w:t>Régimen obligatorio</w:t>
      </w:r>
    </w:p>
    <w:p w14:paraId="0FF55BC2" w14:textId="77777777" w:rsidR="0002360D" w:rsidRPr="000E35A1" w:rsidRDefault="0002360D" w:rsidP="00D06BE8">
      <w:pPr>
        <w:pStyle w:val="VIETAFLECHA"/>
        <w:numPr>
          <w:ilvl w:val="0"/>
          <w:numId w:val="45"/>
        </w:numPr>
        <w:ind w:left="1305" w:hanging="284"/>
        <w:rPr>
          <w:rFonts w:cs="Noto Sans"/>
          <w:szCs w:val="18"/>
        </w:rPr>
      </w:pPr>
      <w:r w:rsidRPr="000E35A1">
        <w:rPr>
          <w:rFonts w:cs="Noto Sans"/>
          <w:szCs w:val="18"/>
        </w:rPr>
        <w:t>Seguro de riesgos de trabajo</w:t>
      </w:r>
    </w:p>
    <w:p w14:paraId="52CDE7D5" w14:textId="77777777" w:rsidR="0002360D" w:rsidRPr="00ED760F" w:rsidRDefault="0002360D" w:rsidP="0002360D">
      <w:pPr>
        <w:spacing w:after="120" w:line="250" w:lineRule="exact"/>
        <w:jc w:val="both"/>
        <w:rPr>
          <w:rFonts w:ascii="Noto Sans" w:hAnsi="Noto Sans" w:cs="Noto Sans"/>
          <w:sz w:val="18"/>
          <w:szCs w:val="18"/>
        </w:rPr>
      </w:pPr>
      <w:r w:rsidRPr="00ED760F">
        <w:rPr>
          <w:rFonts w:ascii="Noto Sans" w:hAnsi="Noto Sans" w:cs="Noto Sans"/>
          <w:sz w:val="18"/>
          <w:szCs w:val="18"/>
        </w:rPr>
        <w:t>Las cuotas por el seguro de riesgos de trabajo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hospitalización, aparatos de prótesis,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14:paraId="4043C5B9" w14:textId="77777777" w:rsidR="0002360D" w:rsidRDefault="0002360D" w:rsidP="0002360D">
      <w:pPr>
        <w:spacing w:after="120" w:line="250" w:lineRule="exact"/>
        <w:jc w:val="both"/>
        <w:rPr>
          <w:rFonts w:ascii="Noto Sans" w:hAnsi="Noto Sans" w:cs="Noto Sans"/>
          <w:sz w:val="18"/>
          <w:szCs w:val="18"/>
        </w:rPr>
      </w:pPr>
      <w:r w:rsidRPr="00ED760F">
        <w:rPr>
          <w:rFonts w:ascii="Noto Sans" w:hAnsi="Noto Sans" w:cs="Noto Sans"/>
          <w:sz w:val="18"/>
          <w:szCs w:val="18"/>
        </w:rPr>
        <w:lastRenderedPageBreak/>
        <w:t>De acuerdo con lo establecido en la LSS en sus artículos 72 y 74, la prima de este seguro (revisable anualmente), se determina multiplicando la siniestralidad de la empresa por un factor de prima y al producto se le sumará el 0.005. El resultado será la prima por aplicar sobre los salarios de cotización, estos límites no podrán exceder la prima mínima y máxima, que serán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14:paraId="76CBF776" w14:textId="77777777" w:rsidR="0002360D" w:rsidRPr="007F0FB5" w:rsidRDefault="0002360D" w:rsidP="00D06BE8">
      <w:pPr>
        <w:pStyle w:val="VIETAFLECHA"/>
        <w:numPr>
          <w:ilvl w:val="0"/>
          <w:numId w:val="45"/>
        </w:numPr>
        <w:ind w:left="1305" w:hanging="284"/>
        <w:rPr>
          <w:rFonts w:cs="Noto Sans"/>
          <w:szCs w:val="18"/>
        </w:rPr>
      </w:pPr>
      <w:r w:rsidRPr="007F0FB5">
        <w:rPr>
          <w:rFonts w:cs="Noto Sans"/>
          <w:szCs w:val="18"/>
        </w:rPr>
        <w:t>Seguro de enfermedad y maternidad</w:t>
      </w:r>
    </w:p>
    <w:p w14:paraId="09E156E5" w14:textId="77777777" w:rsidR="0002360D" w:rsidRDefault="0002360D" w:rsidP="0002360D">
      <w:pPr>
        <w:pStyle w:val="TEXTONORMAL"/>
      </w:pPr>
      <w:r>
        <w:t xml:space="preserve">Las aportaciones al Instituto de los recursos que se requieren para la operación de este seguro son de manera tripartita, lo que significa que el financiamiento de este ramo para las prestaciones en dinero y en especie, al igual que los gastos administrativos provienen de porcentajes diferenciales sobre los salarios base de cotización a cargo tanto de trabajadores, patrones y el Estado; pagaderos mensualmente los cuales amparan al trabajador asegurado, al pensionado y a sus beneficiarios. </w:t>
      </w:r>
    </w:p>
    <w:p w14:paraId="3D96B34B" w14:textId="2B234DB4" w:rsidR="0002360D" w:rsidRDefault="0002360D" w:rsidP="0002360D">
      <w:pPr>
        <w:pStyle w:val="TEXTONORMAL"/>
      </w:pPr>
      <w:r>
        <w:t>Estos gozan de asistencia médico-quirúrgica, farmacéutica, hospitalaria y obstétrica; así como, ayuda de lactancia en los casos de maternidad, los subsidios en efectivo se pagan a los asegurados bajo los criterios establecidos en la Sección Tercera de la LSS.</w:t>
      </w:r>
    </w:p>
    <w:p w14:paraId="31F5F52E" w14:textId="77777777" w:rsidR="0002360D" w:rsidRPr="007F0FB5" w:rsidRDefault="0002360D" w:rsidP="00D06BE8">
      <w:pPr>
        <w:pStyle w:val="VIETAFLECHA"/>
        <w:numPr>
          <w:ilvl w:val="0"/>
          <w:numId w:val="45"/>
        </w:numPr>
        <w:ind w:left="1305" w:hanging="284"/>
        <w:rPr>
          <w:rFonts w:cs="Noto Sans"/>
          <w:szCs w:val="18"/>
        </w:rPr>
      </w:pPr>
      <w:r w:rsidRPr="007F0FB5">
        <w:rPr>
          <w:rFonts w:cs="Noto Sans"/>
          <w:szCs w:val="18"/>
        </w:rPr>
        <w:t>Seguro de invalidez y vida</w:t>
      </w:r>
    </w:p>
    <w:p w14:paraId="43CBBDE7" w14:textId="77777777" w:rsidR="0002360D" w:rsidRDefault="0002360D" w:rsidP="0002360D">
      <w:pPr>
        <w:pStyle w:val="TEXTONORMAL"/>
        <w:rPr>
          <w:lang w:val="es-ES"/>
        </w:rPr>
      </w:pPr>
      <w:r>
        <w:t>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adquieren las siguientes prestaciones: pensión de viudez, de orfandad y ascendencia, así como; asistencia médica y ayuda asistencial. Para enfrentar las pensiones, se contrata con una institución de seguros según correspondan, los seguros de renta vitalicia y de sobrevivencia con la aportación suficiente por parte del Instituto menos los recursos acumulados en la cuenta individual del asegurado.</w:t>
      </w:r>
    </w:p>
    <w:p w14:paraId="7A4118BD" w14:textId="77777777" w:rsidR="0002360D" w:rsidRDefault="0002360D" w:rsidP="0002360D">
      <w:pPr>
        <w:pStyle w:val="TEXTONORMAL"/>
      </w:pPr>
      <w:r>
        <w:t>Para financiar este ramo tanto de prestaciones, como de gastos administrativos y constitución de reservas técnicas, los patrones aportan el 1.75%, los trabajadores el 0.625%, así mismo el Estado aportará un 0.125% del salario base de cotización, el cual se calcula de la multiplicación del 7.143% de 1.75% de acuerdo con lo establecido en los artículos 147 y 148 de la Ley del Seguro Social. El patrón está obligado a enterar al Instituto los capitales constitutivos respectivos.</w:t>
      </w:r>
    </w:p>
    <w:p w14:paraId="08D18DA5" w14:textId="5A41227D" w:rsidR="00F25DE0" w:rsidRDefault="0002360D" w:rsidP="00F25DE0">
      <w:pPr>
        <w:pStyle w:val="TEXTONORMAL"/>
        <w:numPr>
          <w:ilvl w:val="0"/>
          <w:numId w:val="43"/>
        </w:numPr>
        <w:ind w:left="1305" w:hanging="284"/>
      </w:pPr>
      <w:r>
        <w:t>Seguro de retiro, cesantía en edad avanzada y vejez</w:t>
      </w:r>
    </w:p>
    <w:p w14:paraId="0B763CF9" w14:textId="77777777" w:rsidR="0002360D" w:rsidRDefault="0002360D" w:rsidP="0002360D">
      <w:pPr>
        <w:pStyle w:val="TEXTONORMAL"/>
        <w:rPr>
          <w:lang w:val="es-ES"/>
        </w:rPr>
      </w:pPr>
      <w:r>
        <w:t>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(por cada día de salario cotizado, aportará mensualmente una cantidad por concepto de cuota social, para los trabajadores que ganen hasta 4 veces la Unidad de Medida y Actualización [UMA], conforme a la tabla establecida en el artículo 168 Fracc. IV de la LSS), de los patrones (se cubrirá la cuota que corresponda sobre el salario base de cotización calculada respecto a la tabla mostrada en el artículo 168 Fracc. II Inciso a) de la LSS) y del trabajador (1.125% sobre salario como se indica en el inciso b) de la Fracc. II de la LSS).  </w:t>
      </w:r>
    </w:p>
    <w:p w14:paraId="520DC990" w14:textId="77777777" w:rsidR="0002360D" w:rsidRDefault="0002360D" w:rsidP="0002360D">
      <w:pPr>
        <w:pStyle w:val="TEXTONORMAL"/>
      </w:pPr>
      <w:r>
        <w:t>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 y que los valores mencionados como Cuota Social, se actualizarán trimestralmente de conformidad con el INPC, en los meses de marzo, junio, septiembre y diciembre de cada año.</w:t>
      </w:r>
    </w:p>
    <w:p w14:paraId="75FA807C" w14:textId="77777777" w:rsidR="0002360D" w:rsidRDefault="0002360D" w:rsidP="0002360D">
      <w:pPr>
        <w:pStyle w:val="TEXTONORMAL"/>
      </w:pPr>
      <w:r>
        <w:lastRenderedPageBreak/>
        <w:t>Al derogarse la LSS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a los asegurados que opten por el esquema establecido por la LSS que se derogó, estarán a cargo del Gobierno Federal, devolviendo a los asegurados la totalidad de sus fondos acumulados en las AFORES a excepción de la subcuenta de cesantía en edad avanzada y vejez, que se entrega al Gobierno Federal.</w:t>
      </w:r>
    </w:p>
    <w:p w14:paraId="262019D2" w14:textId="77777777" w:rsidR="0002360D" w:rsidRDefault="0002360D" w:rsidP="00D06BE8">
      <w:pPr>
        <w:pStyle w:val="TEXTONORMAL"/>
        <w:numPr>
          <w:ilvl w:val="0"/>
          <w:numId w:val="44"/>
        </w:numPr>
        <w:ind w:left="1305" w:hanging="284"/>
      </w:pPr>
      <w:r>
        <w:t>Seguro de guarderías y prestaciones sociales</w:t>
      </w:r>
    </w:p>
    <w:p w14:paraId="388B6209" w14:textId="77777777" w:rsidR="0002360D" w:rsidRDefault="0002360D" w:rsidP="0002360D">
      <w:pPr>
        <w:pStyle w:val="TEXTONORMAL"/>
        <w:rPr>
          <w:lang w:val="es-ES"/>
        </w:rPr>
      </w:pPr>
      <w:r>
        <w:t>Los patrones aportan el 1% del salario base de cotización para financiar este seguro y cubre el riesgo de las personas trabajadoras que bajo ciertas circunstancias no pueda proporcionar cuidados de primera infancia durante la jornada de trabajo a sus hijos.</w:t>
      </w:r>
    </w:p>
    <w:p w14:paraId="563CB774" w14:textId="77777777" w:rsidR="0002360D" w:rsidRDefault="0002360D" w:rsidP="0002360D">
      <w:pPr>
        <w:pStyle w:val="TEXTONORMAL"/>
      </w:pPr>
      <w:r>
        <w:t>Este seguro también cubre el costo de servicios y programas de prestaciones sociales que fortalezcan la medicina preventiva, el autocuidado de la salud de los derechohabientes y mejoren su economía e integridad familiar.</w:t>
      </w:r>
    </w:p>
    <w:p w14:paraId="7A2D4D8F" w14:textId="77777777" w:rsidR="00EE1299" w:rsidRDefault="00EE1299" w:rsidP="0002360D">
      <w:pPr>
        <w:pStyle w:val="TEXTONORMAL"/>
      </w:pPr>
    </w:p>
    <w:p w14:paraId="7256C237" w14:textId="652C90C6" w:rsidR="0002360D" w:rsidRDefault="007F0FB5" w:rsidP="00D06BE8">
      <w:pPr>
        <w:pStyle w:val="VIETAFLECHA"/>
        <w:numPr>
          <w:ilvl w:val="0"/>
          <w:numId w:val="42"/>
        </w:numPr>
        <w:ind w:left="998" w:hanging="284"/>
      </w:pPr>
      <w:r>
        <w:t xml:space="preserve">3. </w:t>
      </w:r>
      <w:r w:rsidR="0002360D">
        <w:t>Régimen voluntario</w:t>
      </w:r>
    </w:p>
    <w:p w14:paraId="3DBDB3EF" w14:textId="4E6A246B" w:rsidR="00F25DE0" w:rsidRDefault="0002360D" w:rsidP="0002360D">
      <w:pPr>
        <w:pStyle w:val="TEXTONORMAL"/>
        <w:rPr>
          <w:rFonts w:cs="Noto Sans"/>
          <w:szCs w:val="18"/>
        </w:rPr>
      </w:pPr>
      <w:r w:rsidRPr="008E6A68">
        <w:rPr>
          <w:rFonts w:cs="Noto Sans"/>
          <w:szCs w:val="18"/>
        </w:rPr>
        <w:t>Seguro de salud para la familia. Todas las familias en México pueden, voluntariamente, integrarse a este seguro por convenio, cubre las prestaciones en especie del seguro de enfermedades y maternidad, cotizando cada uno de los integrantes familiares de acuerdo con una tabla preestablecida por</w:t>
      </w:r>
      <w:r w:rsidR="00F25DE0">
        <w:rPr>
          <w:rFonts w:cs="Noto Sans"/>
          <w:szCs w:val="18"/>
        </w:rPr>
        <w:t xml:space="preserve"> </w:t>
      </w:r>
      <w:r w:rsidRPr="008E6A68">
        <w:rPr>
          <w:rFonts w:cs="Noto Sans"/>
          <w:szCs w:val="18"/>
        </w:rPr>
        <w:t>edades, los asegurados pagan este seguro anualmente. El Estado contribuye mensualmente por familia con un 13.9% de un salario mínimo general diario vigente en el Distrito Federal</w:t>
      </w:r>
      <w:r w:rsidRPr="008E6A68">
        <w:rPr>
          <w:rStyle w:val="Refdenotaalpie"/>
          <w:rFonts w:cs="Noto Sans"/>
          <w:szCs w:val="18"/>
        </w:rPr>
        <w:footnoteReference w:id="1"/>
      </w:r>
      <w:r w:rsidRPr="008E6A68">
        <w:rPr>
          <w:rFonts w:cs="Noto Sans"/>
          <w:szCs w:val="18"/>
        </w:rPr>
        <w:t>, actualizada trimestralmente de acuerdo con la variación del Índice Nacional de Precios al Consumidor.</w:t>
      </w:r>
    </w:p>
    <w:p w14:paraId="5903FB6E" w14:textId="77777777" w:rsidR="00F25DE0" w:rsidRDefault="00F25DE0" w:rsidP="0002360D">
      <w:pPr>
        <w:pStyle w:val="TEXTONORMAL"/>
        <w:rPr>
          <w:rFonts w:cs="Noto Sans"/>
          <w:szCs w:val="18"/>
        </w:rPr>
      </w:pPr>
    </w:p>
    <w:p w14:paraId="2A88928D" w14:textId="327089BB" w:rsidR="0002360D" w:rsidRPr="007F0FB5" w:rsidRDefault="007F0FB5" w:rsidP="00D06BE8">
      <w:pPr>
        <w:pStyle w:val="VIETAFLECHA"/>
        <w:numPr>
          <w:ilvl w:val="0"/>
          <w:numId w:val="42"/>
        </w:numPr>
        <w:ind w:left="998" w:hanging="284"/>
      </w:pPr>
      <w:r>
        <w:t xml:space="preserve">4. </w:t>
      </w:r>
      <w:r w:rsidR="0002360D" w:rsidRPr="007F0FB5">
        <w:t>Bases de cotización y cuotas</w:t>
      </w:r>
    </w:p>
    <w:p w14:paraId="546AE4EB" w14:textId="6297C436" w:rsidR="0002360D" w:rsidRPr="008E6A68" w:rsidRDefault="0002360D" w:rsidP="00A1251E">
      <w:pPr>
        <w:spacing w:after="120" w:line="250" w:lineRule="exact"/>
        <w:jc w:val="both"/>
        <w:rPr>
          <w:rFonts w:ascii="Noto Sans" w:hAnsi="Noto Sans" w:cs="Noto Sans"/>
          <w:sz w:val="18"/>
          <w:szCs w:val="18"/>
        </w:rPr>
      </w:pPr>
      <w:r w:rsidRPr="008E6A68">
        <w:rPr>
          <w:rFonts w:ascii="Noto Sans" w:hAnsi="Noto Sans" w:cs="Noto Sans"/>
          <w:sz w:val="18"/>
          <w:szCs w:val="18"/>
        </w:rPr>
        <w:t>Los asegurados se inscribirán con el salario base de cotización que perciban en el momento de afiliación, el límite superior del salario diario base de cotización es de veinticinco veces el salario mínimo general del Distrito Federal</w:t>
      </w:r>
      <w:r w:rsidR="00C07772">
        <w:rPr>
          <w:rFonts w:ascii="Noto Sans" w:hAnsi="Noto Sans" w:cs="Noto Sans"/>
          <w:sz w:val="18"/>
          <w:szCs w:val="18"/>
          <w:vertAlign w:val="superscript"/>
        </w:rPr>
        <w:t>1</w:t>
      </w:r>
      <w:r w:rsidRPr="008E6A68">
        <w:rPr>
          <w:rFonts w:ascii="Noto Sans" w:hAnsi="Noto Sans" w:cs="Noto Sans"/>
          <w:color w:val="000000"/>
          <w:sz w:val="18"/>
          <w:szCs w:val="18"/>
        </w:rPr>
        <w:t xml:space="preserve"> </w:t>
      </w:r>
      <w:r w:rsidRPr="008E6A68">
        <w:rPr>
          <w:rFonts w:ascii="Noto Sans" w:hAnsi="Noto Sans" w:cs="Noto Sans"/>
          <w:sz w:val="18"/>
          <w:szCs w:val="18"/>
        </w:rPr>
        <w:t>y el inferior de un salario mínimo de la zona geográfica respectiva, por los trabajadores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14:paraId="04196D69" w14:textId="77777777" w:rsidR="00452D32" w:rsidRDefault="0002360D" w:rsidP="0002360D">
      <w:pPr>
        <w:pStyle w:val="TEXTONORMAL"/>
        <w:rPr>
          <w:rFonts w:cs="Noto Sans"/>
          <w:szCs w:val="18"/>
        </w:rPr>
      </w:pPr>
      <w:r w:rsidRPr="008E6A68">
        <w:rPr>
          <w:rFonts w:cs="Noto Sans"/>
          <w:szCs w:val="18"/>
        </w:rPr>
        <w:t xml:space="preserve">El patrón está obligado a determinar mensualmente el total de las cuotas obrero-patronales y realizar el pago respectivo a más tardar el día diecisiete del siguiente mes de su causación, en los términos que señala la LSS y el Código Fiscal de la Federación, la determinación se deberá </w:t>
      </w:r>
      <w:proofErr w:type="gramStart"/>
      <w:r w:rsidRPr="008E6A68">
        <w:rPr>
          <w:rFonts w:cs="Noto Sans"/>
          <w:szCs w:val="18"/>
        </w:rPr>
        <w:t>realizar</w:t>
      </w:r>
      <w:proofErr w:type="gramEnd"/>
      <w:r w:rsidRPr="008E6A68">
        <w:rPr>
          <w:rFonts w:cs="Noto Sans"/>
          <w:szCs w:val="18"/>
        </w:rPr>
        <w:t xml:space="preserve"> aunque estas no sean cubiertas.</w:t>
      </w:r>
    </w:p>
    <w:p w14:paraId="6B88E357" w14:textId="3B6746F1" w:rsidR="0002360D" w:rsidRDefault="0002360D" w:rsidP="0002360D">
      <w:pPr>
        <w:pStyle w:val="TEXTONORMAL"/>
        <w:rPr>
          <w:rFonts w:cs="Noto Sans"/>
          <w:szCs w:val="18"/>
        </w:rPr>
      </w:pPr>
      <w:r w:rsidRPr="008E6A68">
        <w:rPr>
          <w:rFonts w:cs="Noto Sans"/>
          <w:szCs w:val="18"/>
        </w:rPr>
        <w:lastRenderedPageBreak/>
        <w:t>Las cuotas del seguro de retiro, cesantía en edad avanzada y vejez se enteran bimestralmente en tanto no se homologuen los períodos de pago de las Leyes del Instituto de Seguridad y Servicios Sociales de los Trabajadores del Estado e Instituto del Fondo Nacional de la Vivienda para los Trabajadores</w:t>
      </w:r>
      <w:r>
        <w:rPr>
          <w:rFonts w:cs="Noto Sans"/>
          <w:szCs w:val="18"/>
        </w:rPr>
        <w:t>.</w:t>
      </w:r>
    </w:p>
    <w:p w14:paraId="7D866DEC" w14:textId="77777777" w:rsidR="0002360D" w:rsidRPr="008E6A68" w:rsidRDefault="0002360D" w:rsidP="0002360D">
      <w:pPr>
        <w:pStyle w:val="TEXTONORMAL"/>
        <w:rPr>
          <w:rFonts w:cs="Noto Sans"/>
          <w:szCs w:val="18"/>
        </w:rPr>
      </w:pPr>
    </w:p>
    <w:p w14:paraId="2933F78A" w14:textId="157686B8" w:rsidR="0002360D" w:rsidRDefault="007F0FB5" w:rsidP="00D06BE8">
      <w:pPr>
        <w:pStyle w:val="VIETAFLECHA"/>
        <w:numPr>
          <w:ilvl w:val="0"/>
          <w:numId w:val="42"/>
        </w:numPr>
        <w:ind w:left="998" w:hanging="284"/>
      </w:pPr>
      <w:r>
        <w:t xml:space="preserve">5. </w:t>
      </w:r>
      <w:r w:rsidR="0002360D">
        <w:t>Constitución de reservas</w:t>
      </w:r>
    </w:p>
    <w:p w14:paraId="49AC25E6" w14:textId="77777777" w:rsidR="0002360D" w:rsidRDefault="0002360D" w:rsidP="0002360D">
      <w:pPr>
        <w:pStyle w:val="TEXTONORMAL"/>
      </w:pPr>
      <w:r>
        <w:t>A partir de 2001, el Instituto está obligado a constituir reservas por Ramo de Seguro, la provisión y el respaldo financiero de estas para garantizar el cumplimiento de sus obligaciones; es decir, los pagos de beneficios y la prestación de los servicios relativos a los seguros, en las siguientes reservas:</w:t>
      </w:r>
    </w:p>
    <w:p w14:paraId="6C36CE4E" w14:textId="5F36D8DD" w:rsidR="0002360D" w:rsidRDefault="00405CA6" w:rsidP="0002360D">
      <w:pPr>
        <w:pStyle w:val="TEXTONORMAL"/>
      </w:pPr>
      <w:r>
        <w:t>-</w:t>
      </w:r>
      <w:r w:rsidR="0002360D">
        <w:t>Operativas</w:t>
      </w:r>
    </w:p>
    <w:p w14:paraId="0D9579CE" w14:textId="562A74EB" w:rsidR="0002360D" w:rsidRDefault="00405CA6" w:rsidP="0002360D">
      <w:pPr>
        <w:pStyle w:val="TEXTONORMAL"/>
      </w:pPr>
      <w:r>
        <w:t>-</w:t>
      </w:r>
      <w:r w:rsidR="0002360D">
        <w:t>De operación para contingencias y financiamiento</w:t>
      </w:r>
    </w:p>
    <w:p w14:paraId="3A6E83DE" w14:textId="35D44505" w:rsidR="0002360D" w:rsidRDefault="00405CA6" w:rsidP="0002360D">
      <w:pPr>
        <w:pStyle w:val="TEXTONORMAL"/>
      </w:pPr>
      <w:r>
        <w:t>-</w:t>
      </w:r>
      <w:r w:rsidR="0002360D">
        <w:t>Financieras y actuariales</w:t>
      </w:r>
    </w:p>
    <w:p w14:paraId="3CC59FAF" w14:textId="2B68AF01" w:rsidR="0002360D" w:rsidRDefault="00405CA6" w:rsidP="0002360D">
      <w:pPr>
        <w:pStyle w:val="TEXTONORMAL"/>
      </w:pPr>
      <w:r>
        <w:t>-</w:t>
      </w:r>
      <w:r w:rsidR="0002360D">
        <w:t>General financiera y actuarial</w:t>
      </w:r>
    </w:p>
    <w:p w14:paraId="048BD3B8" w14:textId="77777777" w:rsidR="0002360D" w:rsidRDefault="0002360D" w:rsidP="0002360D">
      <w:pPr>
        <w:pStyle w:val="TEXTONORMAL"/>
      </w:pPr>
      <w:r>
        <w:t>Estas reservas se registran como una provisión al momento de constituirse, con la obligación de estar fondeadas al término de cada ejercicio. Los recursos afectos a estas reservas no forman parte del patrimonio del Instituto, como lo establece el artículo 278 de la LSS para garantizar la viabilidad financiera a largo plazo.</w:t>
      </w:r>
    </w:p>
    <w:p w14:paraId="0345F6D7" w14:textId="77777777" w:rsidR="0002360D" w:rsidRDefault="0002360D" w:rsidP="0002360D">
      <w:pPr>
        <w:spacing w:after="120" w:line="250" w:lineRule="exact"/>
        <w:jc w:val="both"/>
        <w:rPr>
          <w:rFonts w:ascii="Noto Sans" w:hAnsi="Noto Sans" w:cs="Noto Sans"/>
          <w:sz w:val="18"/>
          <w:szCs w:val="18"/>
        </w:rPr>
      </w:pPr>
      <w:r w:rsidRPr="008E6A68">
        <w:rPr>
          <w:rFonts w:ascii="Noto Sans" w:hAnsi="Noto Sans" w:cs="Noto Sans"/>
          <w:sz w:val="18"/>
          <w:szCs w:val="18"/>
        </w:rPr>
        <w:t>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respecto de las reservas operativas y de operación para contingencias y financiamiento. Los montos programados para la constitución y fondeo de las reservas financieras y actuariales, y la reserva general financiera y actuarial, no están sujetos a modificación.</w:t>
      </w:r>
    </w:p>
    <w:p w14:paraId="2E1B440A" w14:textId="77777777" w:rsidR="0002360D" w:rsidRDefault="0002360D" w:rsidP="0002360D">
      <w:pPr>
        <w:pStyle w:val="TEXTONORMAL"/>
      </w:pPr>
      <w:r>
        <w:t>Los intereses provenientes de los fondos invertidos en cada reserva deben incrementarse a los valores de los fondos de la reserva que le dieron origen.</w:t>
      </w:r>
    </w:p>
    <w:p w14:paraId="2CE96772" w14:textId="77777777" w:rsidR="00F25DE0" w:rsidRDefault="00F25DE0" w:rsidP="0002360D">
      <w:pPr>
        <w:pStyle w:val="TEXTONORMAL"/>
      </w:pPr>
    </w:p>
    <w:p w14:paraId="3F645CCE" w14:textId="77777777" w:rsidR="0002360D" w:rsidRDefault="0002360D" w:rsidP="00D06BE8">
      <w:pPr>
        <w:pStyle w:val="TEXTONORMAL"/>
        <w:numPr>
          <w:ilvl w:val="0"/>
          <w:numId w:val="46"/>
        </w:numPr>
        <w:ind w:left="1305" w:hanging="284"/>
      </w:pPr>
      <w:r>
        <w:t>Reservas operativas</w:t>
      </w:r>
    </w:p>
    <w:p w14:paraId="08490F79" w14:textId="77777777" w:rsidR="0002360D" w:rsidRDefault="0002360D" w:rsidP="0002360D">
      <w:pPr>
        <w:pStyle w:val="TEXTONORMAL"/>
        <w:rPr>
          <w:lang w:val="es-ES"/>
        </w:rPr>
      </w:pPr>
      <w:r>
        <w:t>Se constituyen por la totalidad de los ingresos por cuotas obrero-patronales,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general financiera y actuarial. Las reservas operativas, se integran por los siguientes ramos de seguro:</w:t>
      </w:r>
    </w:p>
    <w:p w14:paraId="75E3571E" w14:textId="77777777" w:rsidR="0002360D" w:rsidRDefault="0002360D" w:rsidP="0002360D">
      <w:pPr>
        <w:pStyle w:val="TEXTONORMAL"/>
      </w:pPr>
      <w:r>
        <w:t>Enfermedad y Maternidad</w:t>
      </w:r>
    </w:p>
    <w:p w14:paraId="2D9202A6" w14:textId="77777777" w:rsidR="0002360D" w:rsidRDefault="0002360D" w:rsidP="0002360D">
      <w:pPr>
        <w:pStyle w:val="TEXTONORMAL"/>
      </w:pPr>
      <w:r>
        <w:t>Gastos Médicos para Pensionados</w:t>
      </w:r>
    </w:p>
    <w:p w14:paraId="557C71BF" w14:textId="77777777" w:rsidR="0002360D" w:rsidRDefault="0002360D" w:rsidP="0002360D">
      <w:pPr>
        <w:pStyle w:val="TEXTONORMAL"/>
      </w:pPr>
      <w:r>
        <w:t>Invalidez y Vida</w:t>
      </w:r>
    </w:p>
    <w:p w14:paraId="22248541" w14:textId="77777777" w:rsidR="0002360D" w:rsidRDefault="0002360D" w:rsidP="0002360D">
      <w:pPr>
        <w:pStyle w:val="TEXTONORMAL"/>
      </w:pPr>
      <w:r>
        <w:t>Riesgos de Trabajo</w:t>
      </w:r>
    </w:p>
    <w:p w14:paraId="6E18D26C" w14:textId="77777777" w:rsidR="0002360D" w:rsidRDefault="0002360D" w:rsidP="0002360D">
      <w:pPr>
        <w:pStyle w:val="TEXTONORMAL"/>
      </w:pPr>
      <w:r>
        <w:lastRenderedPageBreak/>
        <w:t>Guarderías y Prestaciones Sociales</w:t>
      </w:r>
    </w:p>
    <w:p w14:paraId="494D61D6" w14:textId="77777777" w:rsidR="0002360D" w:rsidRDefault="0002360D" w:rsidP="0002360D">
      <w:pPr>
        <w:pStyle w:val="TEXTONORMAL"/>
      </w:pPr>
      <w:r>
        <w:t>Seguro de Salud para la Familia</w:t>
      </w:r>
    </w:p>
    <w:p w14:paraId="38AF1819" w14:textId="77777777" w:rsidR="0002360D" w:rsidRDefault="0002360D" w:rsidP="0002360D">
      <w:pPr>
        <w:pStyle w:val="TEXTONORMAL"/>
      </w:pPr>
      <w:r>
        <w:t>Para disponer oportunamente de los fondos para el pago de las obligaciones durante el ejercicio, la inversión de esta reserva debe realizarse en valores del Gobierno Federal, en valores de alta calidad crediticia, en depósitos a la vista o a plazo en Instituciones de crédito y en fondos de inversión. Cuando es necesario, esta reserva se incrementa traspasando fondos de la reserva de operación para contingencias y financiamiento, como se describe en las notas de desglose de los Estados Financieros.</w:t>
      </w:r>
    </w:p>
    <w:p w14:paraId="303C4A41" w14:textId="77777777" w:rsidR="0002360D" w:rsidRDefault="0002360D" w:rsidP="0002360D">
      <w:pPr>
        <w:pStyle w:val="TEXTONORMAL"/>
      </w:pPr>
    </w:p>
    <w:p w14:paraId="13F96AEB" w14:textId="77777777" w:rsidR="0002360D" w:rsidRDefault="0002360D" w:rsidP="00D06BE8">
      <w:pPr>
        <w:pStyle w:val="TEXTONORMAL"/>
        <w:numPr>
          <w:ilvl w:val="0"/>
          <w:numId w:val="47"/>
        </w:numPr>
        <w:ind w:left="1305" w:hanging="284"/>
      </w:pPr>
      <w:r>
        <w:tab/>
        <w:t>Reserva de operación para contingencias y financiamiento</w:t>
      </w:r>
    </w:p>
    <w:p w14:paraId="628781E6" w14:textId="77777777" w:rsidR="0002360D" w:rsidRDefault="0002360D" w:rsidP="0002360D">
      <w:pPr>
        <w:pStyle w:val="TEXTONORMAL"/>
        <w:rPr>
          <w:lang w:val="es-ES"/>
        </w:rPr>
      </w:pPr>
      <w:r>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14:paraId="038F4E2B" w14:textId="77777777" w:rsidR="0002360D" w:rsidRDefault="0002360D" w:rsidP="0002360D">
      <w:pPr>
        <w:pStyle w:val="TEXTONORMAL"/>
      </w:pPr>
      <w:r>
        <w:t>Así mismo, en el caso de que no sea posible cumplir con las metas de reservas y fondos señalados en el PEF, el Instituto podrá disponer de la reserva de operación para contingencias y financiamiento, previa autorización del H. Consejo Técnico, debiendo informar de tales ajustes al Ejecutivo Federal, por conducto de la SHCP.</w:t>
      </w:r>
    </w:p>
    <w:p w14:paraId="2BB67388" w14:textId="77777777" w:rsidR="0002360D" w:rsidRDefault="0002360D" w:rsidP="0002360D">
      <w:pPr>
        <w:pStyle w:val="TEXTONORMAL"/>
      </w:pPr>
      <w:r>
        <w:t>La inversión de esta reserva debe realizarse en valores del Gobierno Federal, en valores de alta calidad crediticia, en depósitos a la vista o a plazo en instituciones de crédito y fondos de inversión.</w:t>
      </w:r>
    </w:p>
    <w:p w14:paraId="6A1D15C6" w14:textId="77777777" w:rsidR="00CF121A" w:rsidRDefault="00CF121A" w:rsidP="0002360D">
      <w:pPr>
        <w:pStyle w:val="TEXTONORMAL"/>
      </w:pPr>
    </w:p>
    <w:p w14:paraId="33DBE18C" w14:textId="77777777" w:rsidR="0002360D" w:rsidRDefault="0002360D" w:rsidP="00D06BE8">
      <w:pPr>
        <w:pStyle w:val="TEXTONORMAL"/>
        <w:numPr>
          <w:ilvl w:val="0"/>
          <w:numId w:val="48"/>
        </w:numPr>
        <w:ind w:left="1305" w:hanging="284"/>
      </w:pPr>
      <w:r>
        <w:t>Reservas financieras y actuariales</w:t>
      </w:r>
    </w:p>
    <w:p w14:paraId="1568869D" w14:textId="77777777" w:rsidR="0002360D" w:rsidRDefault="0002360D" w:rsidP="0002360D">
      <w:pPr>
        <w:pStyle w:val="TEXTONORMAL"/>
        <w:rPr>
          <w:lang w:val="es-ES"/>
        </w:rPr>
      </w:pPr>
      <w:r>
        <w:t>Se constituyen por cada uno de los seguros y coberturas con aportaciones trimestrales calculadas sobre los ingresos de acuerdo con las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14:paraId="6600E4D6" w14:textId="77777777" w:rsidR="0002360D" w:rsidRDefault="0002360D" w:rsidP="0002360D">
      <w:pPr>
        <w:pStyle w:val="TEXTONORMAL"/>
      </w:pPr>
      <w:r>
        <w:t>La disposición de estas reservas solo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14:paraId="01760286" w14:textId="274B7917" w:rsidR="00C210FF" w:rsidRDefault="0002360D" w:rsidP="00C210FF">
      <w:pPr>
        <w:pStyle w:val="TEXTONORMAL"/>
      </w:pPr>
      <w:r>
        <w:t>Los recursos de estas reservas solo podrán invertirse en valores, títulos de crédito y otros derechos de acuerdo con el 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14:paraId="7F6E7C7D" w14:textId="77777777" w:rsidR="00857F08" w:rsidRDefault="00857F08" w:rsidP="00C210FF">
      <w:pPr>
        <w:pStyle w:val="TEXTONORMAL"/>
      </w:pPr>
    </w:p>
    <w:p w14:paraId="4BFB4356" w14:textId="77777777" w:rsidR="00857F08" w:rsidRDefault="00857F08" w:rsidP="00C210FF">
      <w:pPr>
        <w:pStyle w:val="TEXTONORMAL"/>
      </w:pPr>
    </w:p>
    <w:p w14:paraId="3035C439" w14:textId="77777777" w:rsidR="0002360D" w:rsidRDefault="0002360D" w:rsidP="00D06BE8">
      <w:pPr>
        <w:pStyle w:val="TEXTONORMAL"/>
        <w:numPr>
          <w:ilvl w:val="0"/>
          <w:numId w:val="49"/>
        </w:numPr>
        <w:ind w:left="1305" w:hanging="284"/>
      </w:pPr>
      <w:r>
        <w:lastRenderedPageBreak/>
        <w:t>Reserva general financiera y actuarial</w:t>
      </w:r>
    </w:p>
    <w:p w14:paraId="19B59D92" w14:textId="77777777" w:rsidR="0002360D" w:rsidRDefault="0002360D" w:rsidP="0002360D">
      <w:pPr>
        <w:pStyle w:val="TEXTONORMAL"/>
        <w:rPr>
          <w:lang w:val="es-ES"/>
        </w:rPr>
      </w:pPr>
      <w:r>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14:paraId="676A9BDD" w14:textId="77777777" w:rsidR="0002360D" w:rsidRDefault="0002360D" w:rsidP="0002360D">
      <w:pPr>
        <w:pStyle w:val="TEXTONORMAL"/>
      </w:pPr>
      <w:r>
        <w:t>La normatividad para el fondeo de esta reserva es la misma que se describe para las reservas financieras y actuariales.</w:t>
      </w:r>
    </w:p>
    <w:p w14:paraId="7FEA6577" w14:textId="77777777" w:rsidR="0002360D" w:rsidRDefault="0002360D" w:rsidP="0002360D">
      <w:pPr>
        <w:pStyle w:val="TEXTONORMAL"/>
      </w:pPr>
      <w:r>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14:paraId="665B8904" w14:textId="77777777" w:rsidR="00EE1299" w:rsidRDefault="00EE1299" w:rsidP="0002360D">
      <w:pPr>
        <w:pStyle w:val="TEXTONORMAL"/>
      </w:pPr>
    </w:p>
    <w:p w14:paraId="5E4393EB" w14:textId="1C9B4E74" w:rsidR="0002360D" w:rsidRDefault="007F0FB5" w:rsidP="00D06BE8">
      <w:pPr>
        <w:pStyle w:val="VIETAFLECHA"/>
        <w:numPr>
          <w:ilvl w:val="0"/>
          <w:numId w:val="42"/>
        </w:numPr>
        <w:ind w:left="998" w:hanging="284"/>
      </w:pPr>
      <w:r>
        <w:t xml:space="preserve">6. </w:t>
      </w:r>
      <w:r w:rsidR="0002360D">
        <w:t>Restricciones financieras</w:t>
      </w:r>
    </w:p>
    <w:p w14:paraId="618E8ACA" w14:textId="77777777" w:rsidR="0002360D" w:rsidRDefault="0002360D" w:rsidP="0002360D">
      <w:pPr>
        <w:pStyle w:val="TEXTONORMAL"/>
      </w:pPr>
      <w:r>
        <w:t xml:space="preserve">El Instituto no está autorizado a contraer pasivos financieros para pagar las prestaciones correspondientes a los seguros que la LSS establece. Para sufragar su operación solo podrá contraer pasivos derivados de cartas de crédito o coberturas cambiarias a plazos inferiores a un año sin </w:t>
      </w:r>
      <w:proofErr w:type="spellStart"/>
      <w:r>
        <w:t>revolvencia</w:t>
      </w:r>
      <w:proofErr w:type="spellEnd"/>
      <w:r>
        <w:t>, que se destinen a liquidar compromisos con proveedores de insumos, sin perjuicio de los compromisos análogos a estos últimos que autorice contraer previamente la SHCP conforme lo establecido en el artículo 277 B de la LSS.</w:t>
      </w:r>
    </w:p>
    <w:p w14:paraId="693C67DF" w14:textId="77777777" w:rsidR="00EE1299" w:rsidRDefault="00EE1299" w:rsidP="0002360D">
      <w:pPr>
        <w:pStyle w:val="TEXTONORMAL"/>
      </w:pPr>
    </w:p>
    <w:p w14:paraId="04EB0656" w14:textId="397ACE47" w:rsidR="00F25DE0" w:rsidRDefault="007F0FB5" w:rsidP="00EE1299">
      <w:pPr>
        <w:pStyle w:val="VIETAFLECHA"/>
        <w:numPr>
          <w:ilvl w:val="0"/>
          <w:numId w:val="42"/>
        </w:numPr>
        <w:ind w:left="998" w:hanging="284"/>
      </w:pPr>
      <w:r>
        <w:t xml:space="preserve">7. </w:t>
      </w:r>
      <w:r w:rsidR="0002360D">
        <w:t>Informe financiero y actuarial</w:t>
      </w:r>
    </w:p>
    <w:p w14:paraId="2FF16228" w14:textId="40C8A654" w:rsidR="0002360D" w:rsidRDefault="0002360D" w:rsidP="0002360D">
      <w:pPr>
        <w:pStyle w:val="TEXTONORMAL"/>
      </w:pPr>
      <w:r>
        <w:t>La Administración del Instituto elabora un informe</w:t>
      </w:r>
      <w:r w:rsidR="0055396D">
        <w:t xml:space="preserve"> anual</w:t>
      </w:r>
      <w:r>
        <w:t>, el cual es dictaminado por un auditor externo, para ser presentado al H. Consejo Técnico, Asamblea General y H. Comisión de Vigilancia en los términos de los artículos 245, 261 y 266 de la LSS, respectivamente, que incluye:</w:t>
      </w:r>
    </w:p>
    <w:p w14:paraId="5A4F76F1" w14:textId="77777777" w:rsidR="0002360D" w:rsidRDefault="0002360D" w:rsidP="00D06BE8">
      <w:pPr>
        <w:pStyle w:val="TEXTONORMAL"/>
        <w:numPr>
          <w:ilvl w:val="0"/>
          <w:numId w:val="54"/>
        </w:numPr>
        <w:ind w:left="1305" w:hanging="284"/>
      </w:pPr>
      <w:r>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14:paraId="3592D04C" w14:textId="77777777" w:rsidR="0002360D" w:rsidRDefault="0002360D" w:rsidP="00D06BE8">
      <w:pPr>
        <w:pStyle w:val="TEXTONORMAL"/>
        <w:numPr>
          <w:ilvl w:val="0"/>
          <w:numId w:val="54"/>
        </w:numPr>
        <w:ind w:left="1305" w:hanging="284"/>
      </w:pPr>
      <w:r>
        <w:t>Los posibles riesgos, contingencias y pasivos que se estén tomando en cada seguro y la capacidad financiera del Instituto para responder a ellos en función de sus ingresos y las reservas disponibles.</w:t>
      </w:r>
    </w:p>
    <w:p w14:paraId="5C4DB7CB" w14:textId="77777777" w:rsidR="0002360D" w:rsidRDefault="0002360D" w:rsidP="00D06BE8">
      <w:pPr>
        <w:pStyle w:val="TEXTONORMAL"/>
        <w:numPr>
          <w:ilvl w:val="0"/>
          <w:numId w:val="54"/>
        </w:numPr>
        <w:ind w:left="1305" w:hanging="284"/>
      </w:pPr>
      <w:r>
        <w:t>Estimaciones sobre las posibles modificaciones a las cuotas obrero-patronales y a las cuotas, contribuciones y aportaciones del Gobierno Federal de cada seguro en su caso, que se puedan prever, para mantener la viabilidad financiera del Instituto, y de las fechas estimadas en que dichas modificaciones puedan ser requeridas.</w:t>
      </w:r>
    </w:p>
    <w:p w14:paraId="2C90CBD3" w14:textId="77777777" w:rsidR="0002360D" w:rsidRDefault="0002360D" w:rsidP="00D06BE8">
      <w:pPr>
        <w:pStyle w:val="TEXTONORMAL"/>
        <w:numPr>
          <w:ilvl w:val="0"/>
          <w:numId w:val="54"/>
        </w:numPr>
        <w:ind w:left="1305" w:hanging="284"/>
      </w:pPr>
      <w:r>
        <w:t>La situación de sus pasivos laborales totales y de cualquier otra índole que comprometan su gasto por más de un ejercicio fiscal.</w:t>
      </w:r>
    </w:p>
    <w:p w14:paraId="6CD68C3F" w14:textId="77777777" w:rsidR="0002360D" w:rsidRDefault="0002360D" w:rsidP="00D06BE8">
      <w:pPr>
        <w:pStyle w:val="TEXTONORMAL"/>
        <w:numPr>
          <w:ilvl w:val="0"/>
          <w:numId w:val="50"/>
        </w:numPr>
        <w:ind w:left="714" w:hanging="357"/>
      </w:pPr>
      <w:r>
        <w:t>e) Consideraciones fiscales</w:t>
      </w:r>
    </w:p>
    <w:p w14:paraId="7DCF2CF1" w14:textId="5E6E0AC7" w:rsidR="0002360D" w:rsidRDefault="0002360D" w:rsidP="0002360D">
      <w:pPr>
        <w:pStyle w:val="TEXTONORMAL"/>
      </w:pPr>
      <w:r>
        <w:t xml:space="preserve">De conformidad con el artículo 5 de la LSS, la naturaleza jurídica del IMSS corresponde a un organismo público descentralizado con personalidad jurídica y patrimonio propio, de integración operativa tripartita, </w:t>
      </w:r>
      <w:proofErr w:type="gramStart"/>
      <w:r>
        <w:t>en razón de</w:t>
      </w:r>
      <w:proofErr w:type="gramEnd"/>
      <w:r>
        <w:t xml:space="preserve"> que concurren en él, los </w:t>
      </w:r>
      <w:proofErr w:type="gramStart"/>
      <w:r>
        <w:t>sector</w:t>
      </w:r>
      <w:r w:rsidR="002C484A">
        <w:t>es</w:t>
      </w:r>
      <w:r>
        <w:t xml:space="preserve"> público</w:t>
      </w:r>
      <w:proofErr w:type="gramEnd"/>
      <w:r>
        <w:t xml:space="preserve">, social y </w:t>
      </w:r>
      <w:proofErr w:type="gramStart"/>
      <w:r>
        <w:t>privado</w:t>
      </w:r>
      <w:proofErr w:type="gramEnd"/>
      <w:r>
        <w:t xml:space="preserve"> por consiguiente, está sujeto al siguiente régimen fiscal:</w:t>
      </w:r>
    </w:p>
    <w:p w14:paraId="0FFC14A9" w14:textId="77777777" w:rsidR="0002360D" w:rsidRDefault="0002360D" w:rsidP="0002360D">
      <w:pPr>
        <w:pStyle w:val="TEXTONORMAL"/>
      </w:pPr>
    </w:p>
    <w:p w14:paraId="54B15BA7" w14:textId="77777777" w:rsidR="0002360D" w:rsidRDefault="0002360D" w:rsidP="00D06BE8">
      <w:pPr>
        <w:pStyle w:val="TEXTONORMAL"/>
        <w:numPr>
          <w:ilvl w:val="2"/>
          <w:numId w:val="52"/>
        </w:numPr>
        <w:ind w:left="998" w:hanging="284"/>
      </w:pPr>
      <w:r>
        <w:lastRenderedPageBreak/>
        <w:t>Ley del Seguro Social (LSS)</w:t>
      </w:r>
    </w:p>
    <w:p w14:paraId="331601B7" w14:textId="77777777" w:rsidR="0002360D" w:rsidRDefault="0002360D" w:rsidP="0002360D">
      <w:pPr>
        <w:pStyle w:val="TEXTONORMAL"/>
      </w:pPr>
      <w:r>
        <w:t>De conformidad con el artículo 254 de la LSS,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debido a pavimentos, atarjeas y limpia, así como por el agua potable de que dispongan, en las mismas condiciones en que deben pagar los demás causantes. Igualmente estarán sujetos a los derechos de carácter federal correspondientes a la prestación de servicios públicos.</w:t>
      </w:r>
    </w:p>
    <w:p w14:paraId="11325948" w14:textId="77777777" w:rsidR="00F25DE0" w:rsidRDefault="00F25DE0" w:rsidP="0002360D">
      <w:pPr>
        <w:pStyle w:val="TEXTONORMAL"/>
      </w:pPr>
    </w:p>
    <w:p w14:paraId="6E4CA078" w14:textId="77777777" w:rsidR="0002360D" w:rsidRDefault="0002360D" w:rsidP="00D06BE8">
      <w:pPr>
        <w:pStyle w:val="TEXTONORMAL"/>
        <w:numPr>
          <w:ilvl w:val="2"/>
          <w:numId w:val="52"/>
        </w:numPr>
        <w:ind w:left="998" w:hanging="284"/>
      </w:pPr>
      <w:r>
        <w:t>Impuesto Sobre la Renta (ISR)</w:t>
      </w:r>
    </w:p>
    <w:p w14:paraId="0CB51761" w14:textId="77777777" w:rsidR="0002360D" w:rsidRDefault="0002360D" w:rsidP="0002360D">
      <w:pPr>
        <w:pStyle w:val="TEXTONORMAL"/>
      </w:pPr>
      <w:r>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14:paraId="1A4E9A6A" w14:textId="77777777" w:rsidR="0002360D" w:rsidRDefault="0002360D" w:rsidP="0002360D">
      <w:pPr>
        <w:pStyle w:val="TEXTONORMAL"/>
      </w:pPr>
    </w:p>
    <w:p w14:paraId="5486947F" w14:textId="77777777" w:rsidR="0002360D" w:rsidRDefault="0002360D" w:rsidP="00D06BE8">
      <w:pPr>
        <w:pStyle w:val="TEXTONORMAL"/>
        <w:numPr>
          <w:ilvl w:val="2"/>
          <w:numId w:val="52"/>
        </w:numPr>
        <w:ind w:left="998" w:hanging="284"/>
      </w:pPr>
      <w:r>
        <w:t>Impuesto al Valor Agregado (IVA)</w:t>
      </w:r>
    </w:p>
    <w:p w14:paraId="49FBAA9F" w14:textId="77777777" w:rsidR="0002360D" w:rsidRDefault="0002360D" w:rsidP="0002360D">
      <w:pPr>
        <w:pStyle w:val="TEXTONORMAL"/>
      </w:pPr>
      <w:r>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14:paraId="20A57ECE" w14:textId="77777777" w:rsidR="00F51A75" w:rsidRDefault="00F51A75" w:rsidP="0002360D">
      <w:pPr>
        <w:pStyle w:val="TEXTONORMAL"/>
      </w:pPr>
    </w:p>
    <w:p w14:paraId="22871563" w14:textId="77777777" w:rsidR="0002360D" w:rsidRPr="009223B3" w:rsidRDefault="0002360D" w:rsidP="00D06BE8">
      <w:pPr>
        <w:pStyle w:val="TEXTONORMAL"/>
        <w:numPr>
          <w:ilvl w:val="0"/>
          <w:numId w:val="50"/>
        </w:numPr>
        <w:ind w:left="714" w:hanging="357"/>
      </w:pPr>
      <w:r w:rsidRPr="009223B3">
        <w:t>f) Estructura organizacional básica</w:t>
      </w:r>
    </w:p>
    <w:p w14:paraId="334C360E" w14:textId="77777777" w:rsidR="0002360D" w:rsidRDefault="0002360D" w:rsidP="0002360D">
      <w:pPr>
        <w:pStyle w:val="TEXTONORMAL"/>
        <w:spacing w:line="240" w:lineRule="exact"/>
      </w:pPr>
      <w:r>
        <w:t>Los Órganos de Gobierno del Instituto son los siguientes:</w:t>
      </w:r>
    </w:p>
    <w:p w14:paraId="389F01AD" w14:textId="77777777" w:rsidR="00F51A75" w:rsidRDefault="00F51A75" w:rsidP="0002360D">
      <w:pPr>
        <w:pStyle w:val="TEXTONORMAL"/>
        <w:spacing w:line="240" w:lineRule="exact"/>
        <w:rPr>
          <w:rFonts w:ascii="Montserrat" w:hAnsi="Montserrat"/>
        </w:rPr>
      </w:pPr>
    </w:p>
    <w:p w14:paraId="0DC28EAE" w14:textId="77777777" w:rsidR="0002360D" w:rsidRDefault="0002360D" w:rsidP="00D06BE8">
      <w:pPr>
        <w:pStyle w:val="TEXTONORMAL"/>
        <w:numPr>
          <w:ilvl w:val="0"/>
          <w:numId w:val="53"/>
        </w:numPr>
        <w:ind w:left="998" w:hanging="284"/>
      </w:pPr>
      <w:r>
        <w:t>I) La Asamblea General, la cual se integra por treinta miembros: diez del Ejecutivo Federal, diez de las Organizaciones Patronales y diez de las Organizaciones de Trabajadores, con encargo de seis años con derecho a reelección, y sus principales facultades además de las que les confiere los artículos 261 y 262 de la LSS, son las siguientes:</w:t>
      </w:r>
    </w:p>
    <w:p w14:paraId="7BE869A5" w14:textId="77777777" w:rsidR="0002360D" w:rsidRDefault="0002360D" w:rsidP="00D06BE8">
      <w:pPr>
        <w:pStyle w:val="TEXTONORMAL"/>
        <w:numPr>
          <w:ilvl w:val="0"/>
          <w:numId w:val="54"/>
        </w:numPr>
        <w:ind w:left="1305" w:hanging="284"/>
        <w:rPr>
          <w:lang w:val="es-ES"/>
        </w:rPr>
      </w:pPr>
      <w:r>
        <w:t>Conocer, para su aprobación o modificación, el balance actuarial que presente anualmente el H. Consejo Técnico;</w:t>
      </w:r>
    </w:p>
    <w:p w14:paraId="1E29E73D" w14:textId="77777777" w:rsidR="0002360D" w:rsidRDefault="0002360D" w:rsidP="00D06BE8">
      <w:pPr>
        <w:pStyle w:val="TEXTONORMAL"/>
        <w:numPr>
          <w:ilvl w:val="0"/>
          <w:numId w:val="54"/>
        </w:numPr>
        <w:ind w:left="1305" w:hanging="284"/>
      </w:pPr>
      <w:r>
        <w:t>Autorizar al H. Consejo Técnico para promover la revisión de la fórmula para el cálculo de la prima del seguro de riesgos de trabajo, en los términos que establece el artículo 76 de la LSS;</w:t>
      </w:r>
    </w:p>
    <w:p w14:paraId="4898D239" w14:textId="77777777" w:rsidR="0002360D" w:rsidRDefault="0002360D" w:rsidP="00D06BE8">
      <w:pPr>
        <w:pStyle w:val="TEXTONORMAL"/>
        <w:numPr>
          <w:ilvl w:val="0"/>
          <w:numId w:val="54"/>
        </w:numPr>
        <w:ind w:left="1305" w:hanging="284"/>
      </w:pPr>
      <w:r>
        <w:lastRenderedPageBreak/>
        <w:t xml:space="preserve">Decidir en definitiva sobre las resoluciones del H. Consejo Técnico que fueren vetadas por el </w:t>
      </w:r>
      <w:proofErr w:type="gramStart"/>
      <w:r>
        <w:t>Director General</w:t>
      </w:r>
      <w:proofErr w:type="gramEnd"/>
      <w:r>
        <w:t xml:space="preserve"> del Instituto;</w:t>
      </w:r>
    </w:p>
    <w:p w14:paraId="29C59DFD" w14:textId="77777777" w:rsidR="0002360D" w:rsidRDefault="0002360D" w:rsidP="00D06BE8">
      <w:pPr>
        <w:pStyle w:val="TEXTONORMAL"/>
        <w:numPr>
          <w:ilvl w:val="0"/>
          <w:numId w:val="54"/>
        </w:numPr>
        <w:ind w:left="1305" w:hanging="284"/>
      </w:pPr>
      <w:r>
        <w:t>Designar o ratificar los nombramientos de los miembros propietarios o suplentes del H. Consejo Técnico, propuestos por el Ejecutivo Federal y las Organizaciones de Patrones y de las Organizaciones de los Trabajadores;</w:t>
      </w:r>
    </w:p>
    <w:p w14:paraId="1D4ABF1D" w14:textId="77777777" w:rsidR="0002360D" w:rsidRDefault="0002360D" w:rsidP="00D06BE8">
      <w:pPr>
        <w:pStyle w:val="TEXTONORMAL"/>
        <w:numPr>
          <w:ilvl w:val="0"/>
          <w:numId w:val="54"/>
        </w:numPr>
        <w:ind w:left="1305" w:hanging="284"/>
      </w:pPr>
      <w:r>
        <w:t>Designar o ratificar el nombramiento de los miembros de la H. Comisión de Vigilancia y decidir en definitiva sobre la solicitud de revocación de este, en los términos de la fracción siguiente;</w:t>
      </w:r>
    </w:p>
    <w:p w14:paraId="57928AF5" w14:textId="77777777" w:rsidR="0002360D" w:rsidRDefault="0002360D" w:rsidP="00D06BE8">
      <w:pPr>
        <w:pStyle w:val="TEXTONORMAL"/>
        <w:numPr>
          <w:ilvl w:val="0"/>
          <w:numId w:val="54"/>
        </w:numPr>
        <w:ind w:left="1305" w:hanging="284"/>
      </w:pPr>
      <w:r>
        <w:t>Resolver en definitiva sobre la solicitud de revocación del nombramiento de los miembros del H. Consejo Técnico o de los miembros de la H. Comisión de Vigilancia, a que se refieren los artículos 263 y 265 de la LSS.</w:t>
      </w:r>
    </w:p>
    <w:p w14:paraId="2BE9C786" w14:textId="77777777" w:rsidR="0002360D" w:rsidRDefault="0002360D" w:rsidP="0002360D">
      <w:pPr>
        <w:pStyle w:val="TEXTONORMAL"/>
        <w:ind w:left="1021"/>
      </w:pPr>
    </w:p>
    <w:p w14:paraId="42983672" w14:textId="77777777" w:rsidR="0002360D" w:rsidRDefault="0002360D" w:rsidP="00D06BE8">
      <w:pPr>
        <w:pStyle w:val="TEXTONORMAL"/>
        <w:numPr>
          <w:ilvl w:val="0"/>
          <w:numId w:val="55"/>
        </w:numPr>
        <w:ind w:left="998" w:hanging="284"/>
      </w:pPr>
      <w:r>
        <w:t>II) El H. Consejo Técnico, conformado por doce integrantes: cuatro representantes patronales, cuatro de los trabajadores y cuatro del Estado, con sus respectivos suplentes, con encargo de seis años con derecho a reelección, siendo sus principales funciones y atribuciones las siguientes:</w:t>
      </w:r>
    </w:p>
    <w:p w14:paraId="646D9A4A" w14:textId="77777777" w:rsidR="0002360D" w:rsidRDefault="0002360D" w:rsidP="00D06BE8">
      <w:pPr>
        <w:pStyle w:val="TEXTONORMAL"/>
        <w:numPr>
          <w:ilvl w:val="0"/>
          <w:numId w:val="56"/>
        </w:numPr>
        <w:ind w:left="1305" w:hanging="284"/>
        <w:rPr>
          <w:lang w:val="es-ES"/>
        </w:rPr>
      </w:pPr>
      <w:r>
        <w:t>Decidir sobre las inversiones de las reservas y demás recursos del Instituto.</w:t>
      </w:r>
    </w:p>
    <w:p w14:paraId="5BC4F1C8" w14:textId="77777777" w:rsidR="0002360D" w:rsidRDefault="0002360D" w:rsidP="00D06BE8">
      <w:pPr>
        <w:pStyle w:val="TEXTONORMAL"/>
        <w:numPr>
          <w:ilvl w:val="0"/>
          <w:numId w:val="56"/>
        </w:numPr>
        <w:ind w:left="1305" w:hanging="284"/>
      </w:pPr>
      <w:r>
        <w:t>Vigilar y promover el equilibrio financiero de los seguros establecidos en la LSS.</w:t>
      </w:r>
    </w:p>
    <w:p w14:paraId="2D7C6AE3" w14:textId="77777777" w:rsidR="0002360D" w:rsidRDefault="0002360D" w:rsidP="00D06BE8">
      <w:pPr>
        <w:pStyle w:val="TEXTONORMAL"/>
        <w:numPr>
          <w:ilvl w:val="0"/>
          <w:numId w:val="56"/>
        </w:numPr>
        <w:ind w:left="1305" w:hanging="284"/>
      </w:pPr>
      <w:r>
        <w:t>Resolver sobre las operaciones del Instituto, exceptuando aquellas que por su importancia ameriten acuerdo expreso de la Asamblea General.</w:t>
      </w:r>
    </w:p>
    <w:p w14:paraId="191D4927" w14:textId="77777777" w:rsidR="0002360D" w:rsidRDefault="0002360D" w:rsidP="00D06BE8">
      <w:pPr>
        <w:pStyle w:val="TEXTONORMAL"/>
        <w:numPr>
          <w:ilvl w:val="0"/>
          <w:numId w:val="56"/>
        </w:numPr>
        <w:ind w:left="1305" w:hanging="284"/>
      </w:pPr>
      <w:r>
        <w:t xml:space="preserve">Nombrar y remover al </w:t>
      </w:r>
      <w:proofErr w:type="gramStart"/>
      <w:r>
        <w:t>Secretario General</w:t>
      </w:r>
      <w:proofErr w:type="gramEnd"/>
      <w:r>
        <w:t xml:space="preserve">, los </w:t>
      </w:r>
      <w:proofErr w:type="gramStart"/>
      <w:r>
        <w:t>Directores</w:t>
      </w:r>
      <w:proofErr w:type="gramEnd"/>
      <w:r>
        <w:t xml:space="preserve"> Normativos, Titulares de Unidad, Coordinadores Generales; así como a los Titulares de los Órganos de Operación Administrativa Desconcentrada.</w:t>
      </w:r>
    </w:p>
    <w:p w14:paraId="138C29F9" w14:textId="77777777" w:rsidR="0002360D" w:rsidRDefault="0002360D" w:rsidP="00D06BE8">
      <w:pPr>
        <w:pStyle w:val="TEXTONORMAL"/>
        <w:numPr>
          <w:ilvl w:val="0"/>
          <w:numId w:val="56"/>
        </w:numPr>
        <w:ind w:left="1305" w:hanging="284"/>
      </w:pPr>
      <w:r>
        <w:t xml:space="preserve">Establecer procedimientos para la inscripción, cobro de cuotas y otorgamiento de prestaciones. </w:t>
      </w:r>
    </w:p>
    <w:p w14:paraId="0332EFE8" w14:textId="77777777" w:rsidR="0002360D" w:rsidRDefault="0002360D" w:rsidP="0002360D">
      <w:pPr>
        <w:pStyle w:val="TEXTONORMAL"/>
      </w:pPr>
    </w:p>
    <w:p w14:paraId="542A3E78" w14:textId="77777777" w:rsidR="0002360D" w:rsidRDefault="0002360D" w:rsidP="00D06BE8">
      <w:pPr>
        <w:pStyle w:val="TEXTONORMAL"/>
        <w:numPr>
          <w:ilvl w:val="0"/>
          <w:numId w:val="57"/>
        </w:numPr>
        <w:ind w:left="998" w:hanging="284"/>
      </w:pPr>
      <w:r>
        <w:t>III) La H. Comisión de Vigilancia, se integra por seis miembros titulares y sus suplentes designados por los tres sectores: un representante del Gobierno Federal el cual debe estar adscrito a la Secretaría de la Función Pública, el cargo es por seis años con derecho a reelección, siendo sus atribuciones principales las que a continuación se refieren:</w:t>
      </w:r>
    </w:p>
    <w:p w14:paraId="73AB5B5B" w14:textId="77777777" w:rsidR="0002360D" w:rsidRDefault="0002360D" w:rsidP="00D06BE8">
      <w:pPr>
        <w:pStyle w:val="TEXTONORMAL"/>
        <w:numPr>
          <w:ilvl w:val="0"/>
          <w:numId w:val="58"/>
        </w:numPr>
        <w:ind w:left="1305" w:hanging="284"/>
        <w:rPr>
          <w:lang w:val="es-ES"/>
        </w:rPr>
      </w:pPr>
      <w:r>
        <w:t>Vigilar que las inversiones se hagan de acuerdo con la LSS y sus Reglamentos.</w:t>
      </w:r>
    </w:p>
    <w:p w14:paraId="0FDCBA22" w14:textId="77777777" w:rsidR="0002360D" w:rsidRDefault="0002360D" w:rsidP="00D06BE8">
      <w:pPr>
        <w:pStyle w:val="TEXTONORMAL"/>
        <w:numPr>
          <w:ilvl w:val="0"/>
          <w:numId w:val="58"/>
        </w:numPr>
        <w:ind w:left="1305" w:hanging="284"/>
      </w:pPr>
      <w:r>
        <w:t>Practicar auditoría a los balances contables y al informe financiero y actuarial y comprobar los avalúos de los bienes materia de las operaciones del Instituto.</w:t>
      </w:r>
    </w:p>
    <w:p w14:paraId="21DD586F" w14:textId="77777777" w:rsidR="0002360D" w:rsidRDefault="0002360D" w:rsidP="00D06BE8">
      <w:pPr>
        <w:pStyle w:val="TEXTONORMAL"/>
        <w:numPr>
          <w:ilvl w:val="0"/>
          <w:numId w:val="58"/>
        </w:numPr>
        <w:ind w:left="1305" w:hanging="284"/>
      </w:pPr>
      <w:r>
        <w:t>Sugerir a la Asamblea General, al H. Consejo Técnico y a la Comisión Nacional del Sistema de Ahorro para el Retiro; y en su caso; las medidas para mejorar el funcionamiento de los seguros que ampara la LSS.</w:t>
      </w:r>
    </w:p>
    <w:p w14:paraId="43966900" w14:textId="77777777" w:rsidR="0002360D" w:rsidRDefault="0002360D" w:rsidP="00D06BE8">
      <w:pPr>
        <w:pStyle w:val="TEXTONORMAL"/>
        <w:numPr>
          <w:ilvl w:val="0"/>
          <w:numId w:val="58"/>
        </w:numPr>
        <w:ind w:left="1305" w:hanging="284"/>
      </w:pPr>
      <w:r>
        <w:t>Presentar a la Asamblea el dictamen sobre el informe de actividades y los Estados Financieros presentados por el H. Consejo Técnico.</w:t>
      </w:r>
    </w:p>
    <w:p w14:paraId="6BA4ADFF" w14:textId="77777777" w:rsidR="00825395" w:rsidRDefault="00825395" w:rsidP="00825395">
      <w:pPr>
        <w:pStyle w:val="TEXTONORMAL"/>
        <w:ind w:left="1305"/>
      </w:pPr>
    </w:p>
    <w:p w14:paraId="7C46F432" w14:textId="77777777" w:rsidR="0002360D" w:rsidRDefault="0002360D" w:rsidP="0002360D">
      <w:pPr>
        <w:pStyle w:val="TEXTONORMAL"/>
      </w:pPr>
    </w:p>
    <w:p w14:paraId="49132224" w14:textId="77777777" w:rsidR="0002360D" w:rsidRDefault="0002360D" w:rsidP="00D06BE8">
      <w:pPr>
        <w:pStyle w:val="INCISO"/>
        <w:numPr>
          <w:ilvl w:val="0"/>
          <w:numId w:val="51"/>
        </w:numPr>
        <w:spacing w:after="120" w:line="250" w:lineRule="exact"/>
        <w:ind w:left="714" w:hanging="357"/>
        <w:rPr>
          <w:rFonts w:ascii="Noto Sans" w:hAnsi="Noto Sans" w:cs="Noto Sans"/>
        </w:rPr>
      </w:pPr>
      <w:r>
        <w:rPr>
          <w:rFonts w:ascii="Noto Sans" w:hAnsi="Noto Sans" w:cs="Noto Sans"/>
        </w:rPr>
        <w:lastRenderedPageBreak/>
        <w:t xml:space="preserve">g) </w:t>
      </w:r>
      <w:r w:rsidRPr="00F16D7D">
        <w:rPr>
          <w:rFonts w:ascii="Noto Sans" w:hAnsi="Noto Sans" w:cs="Noto Sans"/>
        </w:rPr>
        <w:t>Fideicomisos de los cuales es fideicomitente o fideicomisario, y contratos análogos, incluyendo mandatos de los cuales es parte</w:t>
      </w:r>
    </w:p>
    <w:p w14:paraId="7E11A234" w14:textId="77777777" w:rsidR="0002360D" w:rsidRDefault="0002360D" w:rsidP="0002360D">
      <w:pPr>
        <w:pStyle w:val="INCISO"/>
        <w:spacing w:after="120" w:line="250" w:lineRule="exact"/>
        <w:ind w:left="0" w:firstLine="0"/>
        <w:rPr>
          <w:rFonts w:ascii="Noto Sans" w:hAnsi="Noto Sans" w:cs="Noto Sans"/>
        </w:rPr>
      </w:pPr>
    </w:p>
    <w:tbl>
      <w:tblPr>
        <w:tblW w:w="0" w:type="auto"/>
        <w:jc w:val="center"/>
        <w:tblCellMar>
          <w:left w:w="70" w:type="dxa"/>
          <w:right w:w="70" w:type="dxa"/>
        </w:tblCellMar>
        <w:tblLook w:val="0480" w:firstRow="0" w:lastRow="0" w:firstColumn="1" w:lastColumn="0" w:noHBand="0" w:noVBand="1"/>
      </w:tblPr>
      <w:tblGrid>
        <w:gridCol w:w="1247"/>
        <w:gridCol w:w="1587"/>
        <w:gridCol w:w="964"/>
        <w:gridCol w:w="1342"/>
        <w:gridCol w:w="2268"/>
        <w:gridCol w:w="1877"/>
        <w:gridCol w:w="723"/>
        <w:gridCol w:w="1601"/>
      </w:tblGrid>
      <w:tr w:rsidR="0002360D" w:rsidRPr="005946C5" w14:paraId="71FE0774" w14:textId="77777777" w:rsidTr="00ED10B2">
        <w:trPr>
          <w:trHeight w:val="28"/>
          <w:jc w:val="center"/>
        </w:trPr>
        <w:tc>
          <w:tcPr>
            <w:tcW w:w="1247" w:type="dxa"/>
            <w:tcBorders>
              <w:top w:val="thickThinMediumGap" w:sz="24" w:space="0" w:color="A6802D"/>
              <w:left w:val="nil"/>
              <w:bottom w:val="triple" w:sz="12" w:space="0" w:color="A6802D"/>
              <w:right w:val="single" w:sz="12" w:space="0" w:color="FFFFFF"/>
            </w:tcBorders>
            <w:shd w:val="clear" w:color="auto" w:fill="A6802D"/>
            <w:vAlign w:val="center"/>
            <w:hideMark/>
          </w:tcPr>
          <w:p w14:paraId="0588B103"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Figura</w:t>
            </w:r>
          </w:p>
        </w:tc>
        <w:tc>
          <w:tcPr>
            <w:tcW w:w="1587" w:type="dxa"/>
            <w:tcBorders>
              <w:top w:val="thickThinMediumGap" w:sz="24" w:space="0" w:color="A6802D"/>
              <w:left w:val="nil"/>
              <w:bottom w:val="triple" w:sz="12" w:space="0" w:color="A6802D"/>
              <w:right w:val="single" w:sz="12" w:space="0" w:color="FFFFFF" w:themeColor="background1"/>
            </w:tcBorders>
            <w:shd w:val="clear" w:color="auto" w:fill="A6802D"/>
            <w:vAlign w:val="center"/>
          </w:tcPr>
          <w:p w14:paraId="67FB66FA"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Nombre</w:t>
            </w:r>
          </w:p>
        </w:tc>
        <w:tc>
          <w:tcPr>
            <w:tcW w:w="964" w:type="dxa"/>
            <w:tcBorders>
              <w:top w:val="thickThinMediumGap" w:sz="24"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32AA6913"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Fecha de creación</w:t>
            </w:r>
          </w:p>
        </w:tc>
        <w:tc>
          <w:tcPr>
            <w:tcW w:w="1342" w:type="dxa"/>
            <w:tcBorders>
              <w:top w:val="thickThinMediumGap" w:sz="24"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4E8DD917"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Fideicomitente</w:t>
            </w:r>
          </w:p>
        </w:tc>
        <w:tc>
          <w:tcPr>
            <w:tcW w:w="2268" w:type="dxa"/>
            <w:tcBorders>
              <w:top w:val="thickThinMediumGap" w:sz="24"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32CE235E"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Fideicomisario</w:t>
            </w:r>
          </w:p>
        </w:tc>
        <w:tc>
          <w:tcPr>
            <w:tcW w:w="1877" w:type="dxa"/>
            <w:tcBorders>
              <w:top w:val="thickThinMediumGap" w:sz="24" w:space="0" w:color="A6802D"/>
              <w:left w:val="single" w:sz="12" w:space="0" w:color="FFFFFF" w:themeColor="background1"/>
              <w:bottom w:val="triple" w:sz="12" w:space="0" w:color="A6802D"/>
              <w:right w:val="single" w:sz="12" w:space="0" w:color="FFFFFF"/>
            </w:tcBorders>
            <w:shd w:val="clear" w:color="auto" w:fill="A6802D"/>
            <w:vAlign w:val="center"/>
          </w:tcPr>
          <w:p w14:paraId="292FA916"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Fiduciario</w:t>
            </w:r>
          </w:p>
        </w:tc>
        <w:tc>
          <w:tcPr>
            <w:tcW w:w="2324" w:type="dxa"/>
            <w:gridSpan w:val="2"/>
            <w:tcBorders>
              <w:top w:val="thickThinMediumGap" w:sz="24" w:space="0" w:color="A6802D"/>
              <w:left w:val="nil"/>
              <w:bottom w:val="triple" w:sz="12" w:space="0" w:color="A6802D"/>
            </w:tcBorders>
            <w:shd w:val="clear" w:color="auto" w:fill="A6802D"/>
            <w:vAlign w:val="center"/>
          </w:tcPr>
          <w:p w14:paraId="247685F6"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Objeto </w:t>
            </w:r>
          </w:p>
        </w:tc>
      </w:tr>
      <w:tr w:rsidR="0002360D" w:rsidRPr="005946C5" w14:paraId="4786ABC7" w14:textId="77777777" w:rsidTr="00ED10B2">
        <w:trPr>
          <w:trHeight w:val="283"/>
          <w:jc w:val="center"/>
        </w:trPr>
        <w:tc>
          <w:tcPr>
            <w:tcW w:w="1247" w:type="dxa"/>
            <w:tcBorders>
              <w:top w:val="nil"/>
              <w:left w:val="nil"/>
              <w:right w:val="nil"/>
            </w:tcBorders>
            <w:shd w:val="clear" w:color="000000" w:fill="F2F2F2"/>
            <w:vAlign w:val="center"/>
          </w:tcPr>
          <w:p w14:paraId="3970EC38"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top w:val="nil"/>
              <w:left w:val="nil"/>
              <w:right w:val="nil"/>
            </w:tcBorders>
            <w:shd w:val="clear" w:color="000000" w:fill="F2F2F2"/>
            <w:vAlign w:val="center"/>
          </w:tcPr>
          <w:p w14:paraId="3C22FC95"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para el Desarrollo del Deporte (FIDEIMSS)</w:t>
            </w:r>
          </w:p>
        </w:tc>
        <w:tc>
          <w:tcPr>
            <w:tcW w:w="964" w:type="dxa"/>
            <w:tcBorders>
              <w:top w:val="nil"/>
              <w:left w:val="nil"/>
              <w:right w:val="nil"/>
            </w:tcBorders>
            <w:shd w:val="clear" w:color="000000" w:fill="F2F2F2"/>
            <w:vAlign w:val="center"/>
          </w:tcPr>
          <w:p w14:paraId="2540AA9C"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18 de abril de 1991</w:t>
            </w:r>
          </w:p>
        </w:tc>
        <w:tc>
          <w:tcPr>
            <w:tcW w:w="1342" w:type="dxa"/>
            <w:tcBorders>
              <w:top w:val="nil"/>
              <w:left w:val="nil"/>
              <w:right w:val="nil"/>
            </w:tcBorders>
            <w:shd w:val="clear" w:color="000000" w:fill="F2F2F2"/>
            <w:vAlign w:val="center"/>
          </w:tcPr>
          <w:p w14:paraId="3CDDEB47"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top w:val="nil"/>
              <w:left w:val="nil"/>
              <w:right w:val="nil"/>
            </w:tcBorders>
            <w:shd w:val="clear" w:color="000000" w:fill="F2F2F2"/>
            <w:vAlign w:val="center"/>
          </w:tcPr>
          <w:p w14:paraId="2897DD02"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El IMSS y todas aquellas personas que reciban los servicios proporcionados</w:t>
            </w:r>
          </w:p>
        </w:tc>
        <w:tc>
          <w:tcPr>
            <w:tcW w:w="1877" w:type="dxa"/>
            <w:tcBorders>
              <w:top w:val="nil"/>
              <w:left w:val="nil"/>
              <w:right w:val="nil"/>
            </w:tcBorders>
            <w:shd w:val="clear" w:color="000000" w:fill="F2F2F2"/>
            <w:vAlign w:val="center"/>
          </w:tcPr>
          <w:p w14:paraId="650663E0"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Banco Obrero, S.A. Institución de Banca Múltiple</w:t>
            </w:r>
          </w:p>
        </w:tc>
        <w:tc>
          <w:tcPr>
            <w:tcW w:w="2324" w:type="dxa"/>
            <w:gridSpan w:val="2"/>
            <w:tcBorders>
              <w:top w:val="nil"/>
              <w:left w:val="nil"/>
              <w:right w:val="nil"/>
            </w:tcBorders>
            <w:shd w:val="clear" w:color="000000" w:fill="F2F2F2"/>
            <w:vAlign w:val="center"/>
          </w:tcPr>
          <w:p w14:paraId="41327386"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Apoyar el deporte de alto rendimiento a deportistas de escasos recursos, facilitando la oportunidad de destacar deportivamente en el entorno nacional e internacional</w:t>
            </w:r>
          </w:p>
        </w:tc>
      </w:tr>
      <w:tr w:rsidR="0002360D" w:rsidRPr="005946C5" w14:paraId="773D2216" w14:textId="77777777" w:rsidTr="00ED10B2">
        <w:trPr>
          <w:trHeight w:val="283"/>
          <w:jc w:val="center"/>
        </w:trPr>
        <w:tc>
          <w:tcPr>
            <w:tcW w:w="1247" w:type="dxa"/>
            <w:tcBorders>
              <w:left w:val="nil"/>
              <w:right w:val="nil"/>
            </w:tcBorders>
            <w:shd w:val="clear" w:color="000000" w:fill="F2F2F2"/>
            <w:vAlign w:val="center"/>
          </w:tcPr>
          <w:p w14:paraId="1478D1CE" w14:textId="77777777" w:rsidR="0002360D" w:rsidRPr="00A03616" w:rsidRDefault="0002360D" w:rsidP="00212FBF">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left w:val="nil"/>
              <w:right w:val="nil"/>
            </w:tcBorders>
            <w:shd w:val="clear" w:color="000000" w:fill="F2F2F2"/>
            <w:vAlign w:val="center"/>
          </w:tcPr>
          <w:p w14:paraId="7A157D83"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de Administración de Teatros y Salas de Espectáculos del IMSS</w:t>
            </w:r>
          </w:p>
        </w:tc>
        <w:tc>
          <w:tcPr>
            <w:tcW w:w="964" w:type="dxa"/>
            <w:tcBorders>
              <w:left w:val="nil"/>
              <w:right w:val="nil"/>
            </w:tcBorders>
            <w:shd w:val="clear" w:color="000000" w:fill="F2F2F2"/>
            <w:vAlign w:val="center"/>
          </w:tcPr>
          <w:p w14:paraId="257CF4D7"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5 de enero de 1983</w:t>
            </w:r>
          </w:p>
        </w:tc>
        <w:tc>
          <w:tcPr>
            <w:tcW w:w="1342" w:type="dxa"/>
            <w:tcBorders>
              <w:left w:val="nil"/>
              <w:right w:val="nil"/>
            </w:tcBorders>
            <w:shd w:val="clear" w:color="000000" w:fill="F2F2F2"/>
            <w:vAlign w:val="center"/>
          </w:tcPr>
          <w:p w14:paraId="45C9A576"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left w:val="nil"/>
              <w:right w:val="nil"/>
            </w:tcBorders>
            <w:shd w:val="clear" w:color="000000" w:fill="F2F2F2"/>
            <w:vAlign w:val="center"/>
          </w:tcPr>
          <w:p w14:paraId="63DD7309"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 xml:space="preserve">El IMSS  </w:t>
            </w:r>
          </w:p>
        </w:tc>
        <w:tc>
          <w:tcPr>
            <w:tcW w:w="1877" w:type="dxa"/>
            <w:tcBorders>
              <w:left w:val="nil"/>
              <w:right w:val="nil"/>
            </w:tcBorders>
            <w:shd w:val="clear" w:color="000000" w:fill="F2F2F2"/>
            <w:vAlign w:val="center"/>
          </w:tcPr>
          <w:p w14:paraId="419311F0"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Banco del Bajío, S.A. Institución de Banca Múltiple y Subsidiarias</w:t>
            </w:r>
          </w:p>
        </w:tc>
        <w:tc>
          <w:tcPr>
            <w:tcW w:w="2324" w:type="dxa"/>
            <w:gridSpan w:val="2"/>
            <w:tcBorders>
              <w:left w:val="nil"/>
              <w:right w:val="nil"/>
            </w:tcBorders>
            <w:shd w:val="clear" w:color="000000" w:fill="F2F2F2"/>
            <w:vAlign w:val="center"/>
          </w:tcPr>
          <w:p w14:paraId="4223ECB8"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Promover el desarrollo de proyectos teatrales</w:t>
            </w:r>
          </w:p>
        </w:tc>
      </w:tr>
      <w:tr w:rsidR="0002360D" w:rsidRPr="005946C5" w14:paraId="1D7A72A4" w14:textId="77777777" w:rsidTr="00ED10B2">
        <w:trPr>
          <w:trHeight w:val="283"/>
          <w:jc w:val="center"/>
        </w:trPr>
        <w:tc>
          <w:tcPr>
            <w:tcW w:w="1247" w:type="dxa"/>
            <w:tcBorders>
              <w:left w:val="nil"/>
              <w:right w:val="nil"/>
            </w:tcBorders>
            <w:shd w:val="clear" w:color="000000" w:fill="F2F2F2"/>
            <w:vAlign w:val="center"/>
          </w:tcPr>
          <w:p w14:paraId="7F519EA0"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left w:val="nil"/>
              <w:right w:val="nil"/>
            </w:tcBorders>
            <w:shd w:val="clear" w:color="000000" w:fill="F2F2F2"/>
            <w:vAlign w:val="center"/>
          </w:tcPr>
          <w:p w14:paraId="793F4B0B"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de Beneficios Sociales (FIBESO)</w:t>
            </w:r>
          </w:p>
        </w:tc>
        <w:tc>
          <w:tcPr>
            <w:tcW w:w="964" w:type="dxa"/>
            <w:tcBorders>
              <w:left w:val="nil"/>
              <w:right w:val="nil"/>
            </w:tcBorders>
            <w:shd w:val="clear" w:color="000000" w:fill="F2F2F2"/>
            <w:vAlign w:val="center"/>
          </w:tcPr>
          <w:p w14:paraId="0C2EECFF"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29 de junio de 1990</w:t>
            </w:r>
          </w:p>
        </w:tc>
        <w:tc>
          <w:tcPr>
            <w:tcW w:w="1342" w:type="dxa"/>
            <w:tcBorders>
              <w:left w:val="nil"/>
              <w:right w:val="nil"/>
            </w:tcBorders>
            <w:shd w:val="clear" w:color="000000" w:fill="F2F2F2"/>
            <w:vAlign w:val="center"/>
          </w:tcPr>
          <w:p w14:paraId="7F4699D2"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left w:val="nil"/>
              <w:right w:val="nil"/>
            </w:tcBorders>
            <w:shd w:val="clear" w:color="000000" w:fill="F2F2F2"/>
            <w:vAlign w:val="center"/>
          </w:tcPr>
          <w:p w14:paraId="52880D6A"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El IMSS y todas aquellas personas que reciban los servicios proporcionados</w:t>
            </w:r>
          </w:p>
        </w:tc>
        <w:tc>
          <w:tcPr>
            <w:tcW w:w="1877" w:type="dxa"/>
            <w:tcBorders>
              <w:left w:val="nil"/>
              <w:right w:val="nil"/>
            </w:tcBorders>
            <w:shd w:val="clear" w:color="000000" w:fill="F2F2F2"/>
            <w:vAlign w:val="center"/>
          </w:tcPr>
          <w:p w14:paraId="48778CB9"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Banco Obrero, S.A. Institución de Banca Múltiple</w:t>
            </w:r>
          </w:p>
        </w:tc>
        <w:tc>
          <w:tcPr>
            <w:tcW w:w="2324" w:type="dxa"/>
            <w:gridSpan w:val="2"/>
            <w:tcBorders>
              <w:left w:val="nil"/>
              <w:right w:val="nil"/>
            </w:tcBorders>
            <w:shd w:val="clear" w:color="000000" w:fill="F2F2F2"/>
            <w:vAlign w:val="center"/>
          </w:tcPr>
          <w:p w14:paraId="2D5E80A8"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Proporcionar el servicio de velatorios para los derechohabientes y la población en general</w:t>
            </w:r>
          </w:p>
        </w:tc>
      </w:tr>
      <w:tr w:rsidR="0002360D" w:rsidRPr="005946C5" w14:paraId="54D8A42A" w14:textId="77777777" w:rsidTr="00ED10B2">
        <w:trPr>
          <w:trHeight w:val="283"/>
          <w:jc w:val="center"/>
        </w:trPr>
        <w:tc>
          <w:tcPr>
            <w:tcW w:w="1247" w:type="dxa"/>
            <w:tcBorders>
              <w:left w:val="nil"/>
              <w:bottom w:val="single" w:sz="12" w:space="0" w:color="A6802D"/>
              <w:right w:val="nil"/>
            </w:tcBorders>
            <w:shd w:val="clear" w:color="000000" w:fill="F2F2F2"/>
            <w:vAlign w:val="center"/>
          </w:tcPr>
          <w:p w14:paraId="7D8CCD99"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w:t>
            </w:r>
          </w:p>
        </w:tc>
        <w:tc>
          <w:tcPr>
            <w:tcW w:w="1587" w:type="dxa"/>
            <w:tcBorders>
              <w:left w:val="nil"/>
              <w:bottom w:val="single" w:sz="12" w:space="0" w:color="A6802D"/>
              <w:right w:val="nil"/>
            </w:tcBorders>
            <w:shd w:val="clear" w:color="000000" w:fill="F2F2F2"/>
            <w:vAlign w:val="center"/>
          </w:tcPr>
          <w:p w14:paraId="1DB8667D"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Fideicomiso Público “Fondo para Ayudas Extraordinarias con motivo del incendio de la Guardería ABC”</w:t>
            </w:r>
          </w:p>
        </w:tc>
        <w:tc>
          <w:tcPr>
            <w:tcW w:w="964" w:type="dxa"/>
            <w:tcBorders>
              <w:left w:val="nil"/>
              <w:bottom w:val="single" w:sz="12" w:space="0" w:color="A6802D"/>
              <w:right w:val="nil"/>
            </w:tcBorders>
            <w:shd w:val="clear" w:color="000000" w:fill="F2F2F2"/>
            <w:vAlign w:val="center"/>
          </w:tcPr>
          <w:p w14:paraId="46407F49"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29 de junio de 2010</w:t>
            </w:r>
          </w:p>
        </w:tc>
        <w:tc>
          <w:tcPr>
            <w:tcW w:w="1342" w:type="dxa"/>
            <w:tcBorders>
              <w:left w:val="nil"/>
              <w:bottom w:val="single" w:sz="12" w:space="0" w:color="A6802D"/>
              <w:right w:val="nil"/>
            </w:tcBorders>
            <w:shd w:val="clear" w:color="000000" w:fill="F2F2F2"/>
            <w:vAlign w:val="center"/>
          </w:tcPr>
          <w:p w14:paraId="335FDE00" w14:textId="77777777" w:rsidR="0002360D" w:rsidRPr="00A03616" w:rsidRDefault="0002360D" w:rsidP="00ED10B2">
            <w:pPr>
              <w:spacing w:after="0" w:line="240" w:lineRule="auto"/>
              <w:jc w:val="center"/>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IMSS</w:t>
            </w:r>
          </w:p>
        </w:tc>
        <w:tc>
          <w:tcPr>
            <w:tcW w:w="2268" w:type="dxa"/>
            <w:tcBorders>
              <w:left w:val="nil"/>
              <w:bottom w:val="single" w:sz="12" w:space="0" w:color="A6802D"/>
              <w:right w:val="nil"/>
            </w:tcBorders>
            <w:shd w:val="clear" w:color="000000" w:fill="F2F2F2"/>
            <w:vAlign w:val="center"/>
          </w:tcPr>
          <w:p w14:paraId="7FD46E9A"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Madres de los menores fallecidos y de los lesionados por quemaduras, y a falta de ella, la persona que en lo futuro cuide de ellos, y los adultos que resultaron lesionados por quemaduras</w:t>
            </w:r>
          </w:p>
        </w:tc>
        <w:tc>
          <w:tcPr>
            <w:tcW w:w="1877" w:type="dxa"/>
            <w:tcBorders>
              <w:left w:val="nil"/>
              <w:bottom w:val="single" w:sz="12" w:space="0" w:color="A6802D"/>
              <w:right w:val="nil"/>
            </w:tcBorders>
            <w:shd w:val="clear" w:color="000000" w:fill="F2F2F2"/>
            <w:vAlign w:val="center"/>
          </w:tcPr>
          <w:p w14:paraId="13A40A86"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 xml:space="preserve">Banco Nacional de México, S.A., Integrante del Grupo Financiero Banamex </w:t>
            </w:r>
          </w:p>
        </w:tc>
        <w:tc>
          <w:tcPr>
            <w:tcW w:w="2324" w:type="dxa"/>
            <w:gridSpan w:val="2"/>
            <w:tcBorders>
              <w:left w:val="nil"/>
              <w:bottom w:val="single" w:sz="12" w:space="0" w:color="A6802D"/>
              <w:right w:val="nil"/>
            </w:tcBorders>
            <w:shd w:val="clear" w:color="000000" w:fill="F2F2F2"/>
            <w:vAlign w:val="center"/>
          </w:tcPr>
          <w:p w14:paraId="173484D5" w14:textId="77777777" w:rsidR="0002360D" w:rsidRPr="00A03616" w:rsidRDefault="0002360D" w:rsidP="00ED10B2">
            <w:pPr>
              <w:spacing w:after="0" w:line="240" w:lineRule="auto"/>
              <w:rPr>
                <w:rFonts w:ascii="Noto Sans" w:eastAsia="Times New Roman" w:hAnsi="Noto Sans" w:cs="Noto Sans"/>
                <w:color w:val="000000"/>
                <w:sz w:val="15"/>
                <w:szCs w:val="15"/>
                <w:lang w:eastAsia="es-MX"/>
              </w:rPr>
            </w:pPr>
            <w:r w:rsidRPr="00A03616">
              <w:rPr>
                <w:rFonts w:ascii="Noto Sans" w:eastAsia="Times New Roman" w:hAnsi="Noto Sans" w:cs="Noto Sans"/>
                <w:color w:val="000000"/>
                <w:sz w:val="15"/>
                <w:szCs w:val="15"/>
                <w:lang w:eastAsia="es-MX"/>
              </w:rPr>
              <w:t>Apoyo a las madres de los menores fallecidos y de los lesionados por quemaduras y, a falta de ella, la persona que en lo futuro cuide de ellos</w:t>
            </w:r>
          </w:p>
        </w:tc>
      </w:tr>
      <w:tr w:rsidR="0002360D" w:rsidRPr="00274555" w14:paraId="323A1691" w14:textId="77777777" w:rsidTr="00ED10B2">
        <w:trPr>
          <w:gridAfter w:val="1"/>
          <w:wAfter w:w="1601" w:type="dxa"/>
          <w:trHeight w:val="226"/>
          <w:jc w:val="center"/>
        </w:trPr>
        <w:tc>
          <w:tcPr>
            <w:tcW w:w="10008" w:type="dxa"/>
            <w:gridSpan w:val="7"/>
            <w:tcBorders>
              <w:top w:val="single" w:sz="12" w:space="0" w:color="A6802D"/>
              <w:left w:val="nil"/>
              <w:right w:val="nil"/>
            </w:tcBorders>
          </w:tcPr>
          <w:p w14:paraId="161EAF5C"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464B64B6" w14:textId="68390EFE" w:rsidR="000D3FC1" w:rsidRPr="00F51A75" w:rsidRDefault="000D3FC1" w:rsidP="007042F8">
      <w:pPr>
        <w:pStyle w:val="INCISO"/>
        <w:tabs>
          <w:tab w:val="left" w:pos="1545"/>
        </w:tabs>
        <w:spacing w:after="120" w:line="250" w:lineRule="exact"/>
        <w:ind w:left="357" w:firstLine="0"/>
        <w:rPr>
          <w:rFonts w:ascii="Noto Sans" w:hAnsi="Noto Sans" w:cs="Noto Sans"/>
          <w:lang w:val="es-MX"/>
        </w:rPr>
      </w:pPr>
      <w:r>
        <w:rPr>
          <w:rFonts w:ascii="Noto Sans" w:hAnsi="Noto Sans" w:cs="Noto Sans"/>
          <w:lang w:val="es-MX"/>
        </w:rPr>
        <w:tab/>
      </w:r>
    </w:p>
    <w:p w14:paraId="35D51D4A" w14:textId="6849E67E" w:rsidR="0002360D" w:rsidRPr="00FA2219" w:rsidRDefault="007F0FB5" w:rsidP="00D06BE8">
      <w:pPr>
        <w:pStyle w:val="INCISO"/>
        <w:numPr>
          <w:ilvl w:val="0"/>
          <w:numId w:val="40"/>
        </w:numPr>
        <w:spacing w:after="120" w:line="250" w:lineRule="exact"/>
        <w:ind w:left="357" w:hanging="357"/>
        <w:rPr>
          <w:rFonts w:ascii="Noto Sans" w:hAnsi="Noto Sans" w:cs="Noto Sans"/>
          <w:lang w:val="es-MX"/>
        </w:rPr>
      </w:pPr>
      <w:r>
        <w:rPr>
          <w:rFonts w:ascii="Noto Sans" w:hAnsi="Noto Sans" w:cs="Noto Sans"/>
        </w:rPr>
        <w:t xml:space="preserve">4. </w:t>
      </w:r>
      <w:r w:rsidR="0002360D" w:rsidRPr="006B1414">
        <w:rPr>
          <w:rFonts w:ascii="Noto Sans" w:hAnsi="Noto Sans" w:cs="Noto Sans"/>
        </w:rPr>
        <w:t>Bases de preparación de los Estados financieros</w:t>
      </w:r>
    </w:p>
    <w:p w14:paraId="4BD1730E" w14:textId="77777777" w:rsidR="0002360D" w:rsidRPr="006B1414" w:rsidRDefault="0002360D" w:rsidP="0002360D">
      <w:pPr>
        <w:pStyle w:val="INCISO"/>
        <w:spacing w:after="120" w:line="250" w:lineRule="exact"/>
        <w:ind w:left="0" w:firstLine="0"/>
        <w:rPr>
          <w:rFonts w:ascii="Noto Sans" w:hAnsi="Noto Sans" w:cs="Noto Sans"/>
          <w:lang w:val="es-MX"/>
        </w:rPr>
      </w:pPr>
    </w:p>
    <w:p w14:paraId="3D37AB64"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Los Estados Financieros del Instituto, han sido preparados en cumplimiento a los criterios establecidos por la Ley General de Contabilidad Gubernamental (LGCG) y por lo establecido en el Marco Conceptual de Contabilidad Gubernamental emitida por el CONAC que establece el siguiente orden de aplicación de la normatividad gubernamental:</w:t>
      </w:r>
    </w:p>
    <w:p w14:paraId="1BB6E3DC" w14:textId="77777777" w:rsidR="0002360D" w:rsidRPr="006B1414" w:rsidRDefault="0002360D" w:rsidP="00D06BE8">
      <w:pPr>
        <w:pStyle w:val="INCISO"/>
        <w:numPr>
          <w:ilvl w:val="0"/>
          <w:numId w:val="59"/>
        </w:numPr>
        <w:spacing w:after="120" w:line="250" w:lineRule="exact"/>
        <w:ind w:left="714" w:hanging="357"/>
        <w:rPr>
          <w:rFonts w:ascii="Noto Sans" w:hAnsi="Noto Sans" w:cs="Noto Sans"/>
          <w:lang w:val="es-MX"/>
        </w:rPr>
      </w:pPr>
      <w:r w:rsidRPr="006B1414">
        <w:rPr>
          <w:rFonts w:ascii="Noto Sans" w:hAnsi="Noto Sans" w:cs="Noto Sans"/>
          <w:lang w:val="es-MX"/>
        </w:rPr>
        <w:t>La normatividad emitida por las unidades administrativas o instancias competentes en materia de contabilidad gubernamental;</w:t>
      </w:r>
    </w:p>
    <w:p w14:paraId="5250422B" w14:textId="77777777" w:rsidR="0002360D" w:rsidRPr="006B1414" w:rsidRDefault="0002360D" w:rsidP="00D06BE8">
      <w:pPr>
        <w:pStyle w:val="INCISO"/>
        <w:numPr>
          <w:ilvl w:val="0"/>
          <w:numId w:val="60"/>
        </w:numPr>
        <w:spacing w:after="120" w:line="250" w:lineRule="exact"/>
        <w:ind w:left="714" w:hanging="357"/>
        <w:rPr>
          <w:rFonts w:ascii="Noto Sans" w:hAnsi="Noto Sans" w:cs="Noto Sans"/>
          <w:lang w:val="es-MX"/>
        </w:rPr>
      </w:pPr>
      <w:r w:rsidRPr="006B1414">
        <w:rPr>
          <w:rFonts w:ascii="Noto Sans" w:hAnsi="Noto Sans" w:cs="Noto Sans"/>
          <w:lang w:val="es-MX"/>
        </w:rPr>
        <w:t xml:space="preserve">Las normas internacionales de contabilidad para el sector público emitidas por la junta de normas internacionales de contabilidad del sector público; </w:t>
      </w:r>
    </w:p>
    <w:p w14:paraId="1B1FBB4E" w14:textId="67DA435C" w:rsidR="007042F8" w:rsidRPr="004674CE" w:rsidRDefault="0002360D" w:rsidP="004674CE">
      <w:pPr>
        <w:pStyle w:val="INCISO"/>
        <w:numPr>
          <w:ilvl w:val="0"/>
          <w:numId w:val="59"/>
        </w:numPr>
        <w:spacing w:after="120" w:line="250" w:lineRule="exact"/>
        <w:ind w:left="714" w:hanging="357"/>
        <w:rPr>
          <w:rFonts w:ascii="Noto Sans" w:hAnsi="Noto Sans" w:cs="Noto Sans"/>
          <w:lang w:val="es-MX"/>
        </w:rPr>
      </w:pPr>
      <w:r w:rsidRPr="006B1414">
        <w:rPr>
          <w:rFonts w:ascii="Noto Sans" w:hAnsi="Noto Sans" w:cs="Noto Sans"/>
          <w:lang w:val="es-MX"/>
        </w:rPr>
        <w:t xml:space="preserve">Las normas de información financiera del Consejo Mexicano de Normas de Información Financiera, A. C. </w:t>
      </w:r>
    </w:p>
    <w:p w14:paraId="25146DA4"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lastRenderedPageBreak/>
        <w:t>Los Estados Financieros adjuntos han sido específicamente elaborados para su presentación al H. Consejo Técnico y a la Asamblea General del Instituto, SHCP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14:paraId="1BBF0260" w14:textId="77777777" w:rsidR="0002360D" w:rsidRPr="006B1414" w:rsidRDefault="0002360D" w:rsidP="00D06BE8">
      <w:pPr>
        <w:pStyle w:val="INCISO"/>
        <w:numPr>
          <w:ilvl w:val="3"/>
          <w:numId w:val="61"/>
        </w:numPr>
        <w:spacing w:after="120" w:line="250" w:lineRule="exact"/>
        <w:ind w:left="714" w:hanging="357"/>
        <w:rPr>
          <w:rFonts w:ascii="Noto Sans" w:hAnsi="Noto Sans" w:cs="Noto Sans"/>
          <w:lang w:val="es-MX"/>
        </w:rPr>
      </w:pPr>
      <w:r w:rsidRPr="006B1414">
        <w:rPr>
          <w:rFonts w:ascii="Noto Sans" w:hAnsi="Noto Sans" w:cs="Noto Sans"/>
          <w:lang w:val="es-MX"/>
        </w:rPr>
        <w:t>Ley General de Contabilidad Gubernamental;</w:t>
      </w:r>
    </w:p>
    <w:p w14:paraId="09CACF88" w14:textId="77777777" w:rsidR="0002360D" w:rsidRPr="006B1414" w:rsidRDefault="0002360D" w:rsidP="00D06BE8">
      <w:pPr>
        <w:pStyle w:val="INCISO"/>
        <w:numPr>
          <w:ilvl w:val="3"/>
          <w:numId w:val="61"/>
        </w:numPr>
        <w:spacing w:after="120" w:line="250" w:lineRule="exact"/>
        <w:ind w:left="714" w:hanging="357"/>
        <w:rPr>
          <w:rFonts w:ascii="Noto Sans" w:hAnsi="Noto Sans" w:cs="Noto Sans"/>
          <w:lang w:val="es-MX"/>
        </w:rPr>
      </w:pPr>
      <w:r w:rsidRPr="006B1414">
        <w:rPr>
          <w:rFonts w:ascii="Noto Sans" w:hAnsi="Noto Sans" w:cs="Noto Sans"/>
          <w:lang w:val="es-MX"/>
        </w:rPr>
        <w:t>La Normatividad emitida por el Consejo Nacional de Armonización Contable, y</w:t>
      </w:r>
    </w:p>
    <w:p w14:paraId="44883FCA" w14:textId="77777777" w:rsidR="0002360D" w:rsidRDefault="0002360D" w:rsidP="00D06BE8">
      <w:pPr>
        <w:pStyle w:val="INCISO"/>
        <w:numPr>
          <w:ilvl w:val="3"/>
          <w:numId w:val="61"/>
        </w:numPr>
        <w:spacing w:after="120" w:line="250" w:lineRule="exact"/>
        <w:ind w:left="714" w:hanging="357"/>
        <w:rPr>
          <w:rFonts w:ascii="Noto Sans" w:hAnsi="Noto Sans" w:cs="Noto Sans"/>
          <w:lang w:val="es-MX"/>
        </w:rPr>
      </w:pPr>
      <w:r w:rsidRPr="006B1414">
        <w:rPr>
          <w:rFonts w:ascii="Noto Sans" w:hAnsi="Noto Sans" w:cs="Noto Sans"/>
          <w:lang w:val="es-MX"/>
        </w:rPr>
        <w:t>MCGSPF, emitido por la UCG de la SHCP.</w:t>
      </w:r>
    </w:p>
    <w:p w14:paraId="3A0408BE" w14:textId="77777777" w:rsidR="0002360D" w:rsidRDefault="0002360D" w:rsidP="0002360D">
      <w:pPr>
        <w:pStyle w:val="INCISO"/>
        <w:spacing w:after="120" w:line="250" w:lineRule="exact"/>
        <w:ind w:left="0" w:firstLine="0"/>
        <w:rPr>
          <w:rFonts w:ascii="Noto Sans" w:hAnsi="Noto Sans" w:cs="Noto Sans"/>
          <w:lang w:val="es-MX"/>
        </w:rPr>
      </w:pPr>
    </w:p>
    <w:p w14:paraId="47D02B21"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Dado lo anterior, el Instituto ha armonizado los registros contables en su Plan de cuentas y la estructura de los Estados Financieros con base en el MCGSPF, emitido por la UCG de la SHCP.</w:t>
      </w:r>
    </w:p>
    <w:p w14:paraId="18135D1E" w14:textId="77777777" w:rsidR="0002360D" w:rsidRPr="006B1414" w:rsidRDefault="0002360D" w:rsidP="0002360D">
      <w:pPr>
        <w:pStyle w:val="INCISO"/>
        <w:spacing w:after="120" w:line="250" w:lineRule="exact"/>
        <w:ind w:left="357" w:hanging="357"/>
        <w:rPr>
          <w:rFonts w:ascii="Noto Sans" w:hAnsi="Noto Sans" w:cs="Noto Sans"/>
          <w:lang w:val="es-MX"/>
        </w:rPr>
      </w:pPr>
      <w:r w:rsidRPr="006B1414">
        <w:rPr>
          <w:rFonts w:ascii="Noto Sans" w:hAnsi="Noto Sans" w:cs="Noto Sans"/>
          <w:lang w:val="es-MX"/>
        </w:rPr>
        <w:t xml:space="preserve">En el capítulo IV, el MCGSPF establece la normatividad contable denominada “lineamientos contables”: </w:t>
      </w:r>
    </w:p>
    <w:p w14:paraId="39E8105B"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A.- Control Presupuestario de los Ingresos y de los Gastos</w:t>
      </w:r>
    </w:p>
    <w:p w14:paraId="16C83F57"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B.- Subsidios, Apoyos Fiscales y Transferencias Corrientes y de Capital en sus Diferentes Modalidades</w:t>
      </w:r>
    </w:p>
    <w:p w14:paraId="1B329CA3"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C.- Estimación de Cuentas Incobrables</w:t>
      </w:r>
    </w:p>
    <w:p w14:paraId="7FAFDD3F" w14:textId="4DED350A"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E.- Obligaciones Laborales</w:t>
      </w:r>
    </w:p>
    <w:p w14:paraId="18C7B765" w14:textId="77777777" w:rsidR="0002360D" w:rsidRPr="006B1414" w:rsidRDefault="0002360D" w:rsidP="00D06BE8">
      <w:pPr>
        <w:pStyle w:val="INCISO"/>
        <w:numPr>
          <w:ilvl w:val="0"/>
          <w:numId w:val="62"/>
        </w:numPr>
        <w:spacing w:after="120" w:line="250" w:lineRule="exact"/>
        <w:ind w:left="714" w:hanging="357"/>
        <w:rPr>
          <w:rFonts w:ascii="Noto Sans" w:hAnsi="Noto Sans" w:cs="Noto Sans"/>
          <w:lang w:val="es-MX"/>
        </w:rPr>
      </w:pPr>
      <w:r w:rsidRPr="006B1414">
        <w:rPr>
          <w:rFonts w:ascii="Noto Sans" w:hAnsi="Noto Sans" w:cs="Noto Sans"/>
          <w:lang w:val="es-MX"/>
        </w:rPr>
        <w:t>F.- Arrendamiento Financiero</w:t>
      </w:r>
    </w:p>
    <w:p w14:paraId="40D35AC2" w14:textId="77777777" w:rsidR="0002360D" w:rsidRPr="006B1414" w:rsidRDefault="0002360D" w:rsidP="0002360D">
      <w:pPr>
        <w:pStyle w:val="INCISO"/>
        <w:spacing w:after="120" w:line="250" w:lineRule="exact"/>
        <w:rPr>
          <w:rFonts w:ascii="Noto Sans" w:hAnsi="Noto Sans" w:cs="Noto Sans"/>
          <w:lang w:val="es-MX"/>
        </w:rPr>
      </w:pPr>
      <w:r w:rsidRPr="006B1414">
        <w:rPr>
          <w:rFonts w:ascii="Noto Sans" w:hAnsi="Noto Sans" w:cs="Noto Sans"/>
          <w:lang w:val="es-MX"/>
        </w:rPr>
        <w:t>NACG 01.- Norma del Archivo Contable Gubernamental</w:t>
      </w:r>
    </w:p>
    <w:p w14:paraId="074D9FBE" w14:textId="77777777" w:rsidR="0002360D" w:rsidRPr="006B1414"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14:paraId="47F5F8A4" w14:textId="77777777" w:rsidR="0002360D" w:rsidRDefault="0002360D" w:rsidP="0002360D">
      <w:pPr>
        <w:pStyle w:val="INCISO"/>
        <w:spacing w:after="120" w:line="250" w:lineRule="exact"/>
        <w:ind w:left="0" w:firstLine="0"/>
        <w:rPr>
          <w:rFonts w:ascii="Noto Sans" w:hAnsi="Noto Sans" w:cs="Noto Sans"/>
          <w:lang w:val="es-MX"/>
        </w:rPr>
      </w:pPr>
      <w:r w:rsidRPr="006B1414">
        <w:rPr>
          <w:rFonts w:ascii="Noto Sans" w:hAnsi="Noto Sans" w:cs="Noto Sans"/>
          <w:lang w:val="es-MX"/>
        </w:rPr>
        <w:t>Es de resaltar que en el ámbito de aplicación de las disposiciones del MCGSPF emitido por la UCG,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14:paraId="643D4DDE" w14:textId="77777777" w:rsidR="00825395" w:rsidRPr="00242FB1" w:rsidRDefault="00825395" w:rsidP="0002360D">
      <w:pPr>
        <w:pStyle w:val="INCISO"/>
        <w:spacing w:after="120" w:line="250" w:lineRule="exact"/>
        <w:ind w:left="0" w:firstLine="0"/>
        <w:rPr>
          <w:rFonts w:ascii="Noto Sans" w:hAnsi="Noto Sans" w:cs="Noto Sans"/>
          <w:lang w:val="es-MX"/>
        </w:rPr>
      </w:pPr>
    </w:p>
    <w:p w14:paraId="42508365" w14:textId="77777777" w:rsidR="0002360D" w:rsidRPr="006F585C" w:rsidRDefault="0002360D" w:rsidP="0002360D">
      <w:pPr>
        <w:pStyle w:val="VIETAFLECHA"/>
        <w:numPr>
          <w:ilvl w:val="0"/>
          <w:numId w:val="0"/>
        </w:numPr>
      </w:pPr>
      <w:r w:rsidRPr="006F585C">
        <w:t>Diferencias entre las bases contables utilizadas por el Instituto y las N</w:t>
      </w:r>
      <w:r>
        <w:t xml:space="preserve">ormas de </w:t>
      </w:r>
      <w:r w:rsidRPr="006F585C">
        <w:t>I</w:t>
      </w:r>
      <w:r>
        <w:t xml:space="preserve">nformación </w:t>
      </w:r>
      <w:r w:rsidRPr="006F585C">
        <w:t>F</w:t>
      </w:r>
      <w:r>
        <w:t>inanciera (NIF):</w:t>
      </w:r>
    </w:p>
    <w:p w14:paraId="25CD8F09" w14:textId="77777777" w:rsidR="0002360D" w:rsidRPr="006F585C" w:rsidRDefault="0002360D" w:rsidP="00D06BE8">
      <w:pPr>
        <w:pStyle w:val="TEXTONORMAL"/>
        <w:numPr>
          <w:ilvl w:val="0"/>
          <w:numId w:val="63"/>
        </w:numPr>
        <w:ind w:left="714" w:hanging="357"/>
      </w:pPr>
      <w:r w:rsidRPr="006F585C">
        <w:t>Inmuebles, mobiliario y equipo</w:t>
      </w:r>
    </w:p>
    <w:p w14:paraId="59F521D6" w14:textId="77777777" w:rsidR="0002360D" w:rsidRPr="006F585C" w:rsidRDefault="0002360D" w:rsidP="00D06BE8">
      <w:pPr>
        <w:pStyle w:val="TEXTONORMAL"/>
        <w:numPr>
          <w:ilvl w:val="0"/>
          <w:numId w:val="64"/>
        </w:numPr>
        <w:ind w:left="998" w:hanging="284"/>
      </w:pPr>
      <w:r w:rsidRPr="006F585C">
        <w:t>Reconocimiento de los efectos de la inflación</w:t>
      </w:r>
    </w:p>
    <w:p w14:paraId="2C1FF938" w14:textId="77777777" w:rsidR="0002360D" w:rsidRPr="007447E9" w:rsidRDefault="0002360D" w:rsidP="0002360D">
      <w:pPr>
        <w:pStyle w:val="TEXTONORMAL"/>
      </w:pPr>
      <w:r w:rsidRPr="00D254D7">
        <w:t xml:space="preserve">La NIF B-10 “Efectos de la Inflación” y la </w:t>
      </w:r>
      <w:bookmarkStart w:id="0" w:name="OLE_LINK13"/>
      <w:bookmarkStart w:id="1" w:name="OLE_LINK10"/>
      <w:proofErr w:type="spellStart"/>
      <w:r w:rsidRPr="00D254D7">
        <w:t>NIFGG</w:t>
      </w:r>
      <w:proofErr w:type="spellEnd"/>
      <w:r w:rsidRPr="00D254D7">
        <w:t xml:space="preserve"> </w:t>
      </w:r>
      <w:proofErr w:type="spellStart"/>
      <w:r w:rsidRPr="00D254D7">
        <w:t>SP</w:t>
      </w:r>
      <w:proofErr w:type="spellEnd"/>
      <w:r w:rsidRPr="00D254D7">
        <w:t xml:space="preserve"> 04 “</w:t>
      </w:r>
      <w:proofErr w:type="spellStart"/>
      <w:r w:rsidRPr="00D254D7">
        <w:t>Reexpresión</w:t>
      </w:r>
      <w:proofErr w:type="spellEnd"/>
      <w:r w:rsidRPr="00D254D7">
        <w:t>”</w:t>
      </w:r>
      <w:bookmarkEnd w:id="0"/>
      <w:bookmarkEnd w:id="1"/>
      <w:r w:rsidRPr="00D254D7">
        <w:t>, reconocen que la entidad debe mantener en sus activos, pasivos y capital o patrimonio contable</w:t>
      </w:r>
      <w:r>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14:paraId="61A89117" w14:textId="77777777" w:rsidR="0002360D" w:rsidRDefault="0002360D" w:rsidP="0002360D">
      <w:pPr>
        <w:pStyle w:val="TEXTONORMAL"/>
      </w:pPr>
      <w:r>
        <w:lastRenderedPageBreak/>
        <w:t xml:space="preserve">No obstante que la </w:t>
      </w:r>
      <w:proofErr w:type="spellStart"/>
      <w:r>
        <w:t>NIFGG</w:t>
      </w:r>
      <w:proofErr w:type="spellEnd"/>
      <w:r>
        <w:t xml:space="preserve"> </w:t>
      </w:r>
      <w:proofErr w:type="spellStart"/>
      <w:r>
        <w:t>SP</w:t>
      </w:r>
      <w:proofErr w:type="spellEnd"/>
      <w:r>
        <w:t xml:space="preserve"> 04 “</w:t>
      </w:r>
      <w:proofErr w:type="spellStart"/>
      <w:r>
        <w:t>Reexpresión</w:t>
      </w:r>
      <w:proofErr w:type="spellEnd"/>
      <w:r>
        <w:t>” estuvo vigente hasta el 2019, las Reglas Específicas del Registro y Valoración del Patrimonio emitidas por el CONAC señalan que atendiendo a la Norma Internacional de Contabilidad del Sector Público NICS 10 “Información Financiera en Economías Hiperinflacionarias”, se deberá actualizar el patrimonio cuando el Índice Nacional de Precios al Consumidor acumulada durante un periodo de tres años sea igual o superior al 100%.</w:t>
      </w:r>
    </w:p>
    <w:p w14:paraId="1AD2FE98" w14:textId="77777777" w:rsidR="0002360D" w:rsidRDefault="0002360D" w:rsidP="0002360D">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14:paraId="2B7DBB87" w14:textId="77777777" w:rsidR="0002360D" w:rsidRDefault="0002360D" w:rsidP="0002360D">
      <w:pPr>
        <w:pStyle w:val="TEXTONORMAL"/>
      </w:pPr>
      <w:r>
        <w:t xml:space="preserve">La política contable que mantiene el Instituto sobre la depreciación de los efectos de la inflación reconocidos hasta el 31 de diciembre de </w:t>
      </w:r>
      <w:proofErr w:type="gramStart"/>
      <w:r>
        <w:t>2007,</w:t>
      </w:r>
      <w:proofErr w:type="gramEnd"/>
      <w:r>
        <w:t xml:space="preserve"> se basa en depreciar sus activos fijos considerando únicamente los valores históricos y cancelando los efectos de </w:t>
      </w:r>
      <w:proofErr w:type="spellStart"/>
      <w:r>
        <w:t>reexpresión</w:t>
      </w:r>
      <w:proofErr w:type="spellEnd"/>
      <w:r>
        <w:t xml:space="preserve"> cuando el activo se deprecia totalmente, se deteriora o se vende.</w:t>
      </w:r>
    </w:p>
    <w:p w14:paraId="118FE743" w14:textId="600B79AD" w:rsidR="0002360D" w:rsidRPr="00595CBF" w:rsidRDefault="0002360D" w:rsidP="0002360D">
      <w:pPr>
        <w:pStyle w:val="TEXTONORMAL"/>
      </w:pPr>
      <w:r w:rsidRPr="00595CBF">
        <w:t>Para la depreciación del ejercicio 202</w:t>
      </w:r>
      <w:r w:rsidR="000D3FC1">
        <w:t>5 y 2024</w:t>
      </w:r>
      <w:r w:rsidRPr="00595CBF">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58A7B82D" w14:textId="77777777" w:rsidR="0002360D" w:rsidRPr="00595CBF" w:rsidRDefault="0002360D" w:rsidP="00D06BE8">
      <w:pPr>
        <w:pStyle w:val="TEXTONORMAL"/>
        <w:numPr>
          <w:ilvl w:val="0"/>
          <w:numId w:val="65"/>
        </w:numPr>
        <w:ind w:left="998" w:hanging="284"/>
      </w:pPr>
      <w:r w:rsidRPr="00595CBF">
        <w:t>Resultado integral de financiamiento</w:t>
      </w:r>
    </w:p>
    <w:p w14:paraId="35517116" w14:textId="77777777" w:rsidR="0002360D" w:rsidRPr="00FA2219" w:rsidRDefault="0002360D" w:rsidP="0002360D">
      <w:pPr>
        <w:autoSpaceDE w:val="0"/>
        <w:autoSpaceDN w:val="0"/>
        <w:adjustRightInd w:val="0"/>
        <w:spacing w:line="276" w:lineRule="auto"/>
        <w:jc w:val="both"/>
        <w:rPr>
          <w:rFonts w:ascii="Noto Sans" w:hAnsi="Noto Sans" w:cs="Noto Sans"/>
          <w:sz w:val="18"/>
          <w:szCs w:val="18"/>
        </w:rPr>
      </w:pPr>
      <w:r w:rsidRPr="00FA2219">
        <w:rPr>
          <w:rFonts w:ascii="Noto Sans" w:hAnsi="Noto Sans" w:cs="Noto Sans"/>
          <w:sz w:val="18"/>
          <w:szCs w:val="18"/>
        </w:rPr>
        <w:t xml:space="preserve">A partir del ejercicio de 2020 quedó sin efecto la </w:t>
      </w:r>
      <w:proofErr w:type="spellStart"/>
      <w:r w:rsidRPr="00FA2219">
        <w:rPr>
          <w:rFonts w:ascii="Noto Sans" w:hAnsi="Noto Sans" w:cs="Noto Sans"/>
          <w:sz w:val="18"/>
          <w:szCs w:val="18"/>
        </w:rPr>
        <w:t>NIFGG</w:t>
      </w:r>
      <w:proofErr w:type="spellEnd"/>
      <w:r w:rsidRPr="00FA2219">
        <w:rPr>
          <w:rFonts w:ascii="Noto Sans" w:hAnsi="Noto Sans" w:cs="Noto Sans"/>
          <w:sz w:val="18"/>
          <w:szCs w:val="18"/>
        </w:rPr>
        <w:t xml:space="preserve"> </w:t>
      </w:r>
      <w:proofErr w:type="spellStart"/>
      <w:r w:rsidRPr="00FA2219">
        <w:rPr>
          <w:rFonts w:ascii="Noto Sans" w:hAnsi="Noto Sans" w:cs="Noto Sans"/>
          <w:sz w:val="18"/>
          <w:szCs w:val="18"/>
        </w:rPr>
        <w:t>SP</w:t>
      </w:r>
      <w:proofErr w:type="spellEnd"/>
      <w:r w:rsidRPr="00FA2219">
        <w:rPr>
          <w:rFonts w:ascii="Noto Sans" w:hAnsi="Noto Sans" w:cs="Noto Sans"/>
          <w:sz w:val="18"/>
          <w:szCs w:val="18"/>
        </w:rPr>
        <w:t xml:space="preserve"> 04 “</w:t>
      </w:r>
      <w:proofErr w:type="spellStart"/>
      <w:r w:rsidRPr="00FA2219">
        <w:rPr>
          <w:rFonts w:ascii="Noto Sans" w:hAnsi="Noto Sans" w:cs="Noto Sans"/>
          <w:sz w:val="18"/>
          <w:szCs w:val="18"/>
        </w:rPr>
        <w:t>Reexpresión</w:t>
      </w:r>
      <w:proofErr w:type="spellEnd"/>
      <w:r w:rsidRPr="00FA2219">
        <w:rPr>
          <w:rFonts w:ascii="Noto Sans" w:hAnsi="Noto Sans" w:cs="Noto Sans"/>
          <w:sz w:val="18"/>
          <w:szCs w:val="18"/>
        </w:rPr>
        <w:t xml:space="preserve">”, y el criterio aplicable será el establecido en las Reglas Específicas del Registro y Valoración del Patrimonio aprobadas por el CONAC. En cuanto a los valores históricos de la </w:t>
      </w:r>
      <w:proofErr w:type="spellStart"/>
      <w:r w:rsidRPr="00FA2219">
        <w:rPr>
          <w:rFonts w:ascii="Noto Sans" w:hAnsi="Noto Sans" w:cs="Noto Sans"/>
          <w:sz w:val="18"/>
          <w:szCs w:val="18"/>
        </w:rPr>
        <w:t>reexpresión</w:t>
      </w:r>
      <w:proofErr w:type="spellEnd"/>
      <w:r w:rsidRPr="00FA2219">
        <w:rPr>
          <w:rFonts w:ascii="Noto Sans" w:hAnsi="Noto Sans" w:cs="Noto Sans"/>
          <w:sz w:val="18"/>
          <w:szCs w:val="18"/>
        </w:rPr>
        <w:t xml:space="preserve"> presentados en los Estados Financieros, para los activos que se mantengan en poder de la entidad, permanecerán sin cambio respecto del criterio contable que les dio origen. </w:t>
      </w:r>
    </w:p>
    <w:p w14:paraId="106C3190" w14:textId="77777777" w:rsidR="0002360D" w:rsidRPr="00FA2219" w:rsidRDefault="0002360D" w:rsidP="0002360D">
      <w:pPr>
        <w:autoSpaceDE w:val="0"/>
        <w:autoSpaceDN w:val="0"/>
        <w:adjustRightInd w:val="0"/>
        <w:spacing w:line="276" w:lineRule="auto"/>
        <w:jc w:val="both"/>
        <w:rPr>
          <w:rFonts w:ascii="Noto Sans" w:hAnsi="Noto Sans" w:cs="Noto Sans"/>
          <w:sz w:val="18"/>
          <w:szCs w:val="18"/>
        </w:rPr>
      </w:pPr>
      <w:r w:rsidRPr="00FA2219">
        <w:rPr>
          <w:rFonts w:ascii="Noto Sans" w:hAnsi="Noto Sans" w:cs="Noto Sans"/>
          <w:sz w:val="18"/>
          <w:szCs w:val="18"/>
        </w:rPr>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así mismo, estos conceptos no se registran como parte de las cuentas de patrimonio.</w:t>
      </w:r>
    </w:p>
    <w:p w14:paraId="21B60940" w14:textId="77777777" w:rsidR="0002360D" w:rsidRPr="00FA2219" w:rsidRDefault="0002360D" w:rsidP="00D06BE8">
      <w:pPr>
        <w:pStyle w:val="TEXTONORMAL"/>
        <w:numPr>
          <w:ilvl w:val="0"/>
          <w:numId w:val="66"/>
        </w:numPr>
        <w:ind w:left="998" w:hanging="284"/>
        <w:rPr>
          <w:rFonts w:cs="Noto Sans"/>
          <w:szCs w:val="18"/>
        </w:rPr>
      </w:pPr>
      <w:r w:rsidRPr="00FA2219">
        <w:rPr>
          <w:rFonts w:cs="Noto Sans"/>
          <w:szCs w:val="18"/>
        </w:rPr>
        <w:t>Deterioro en el valor de los activos de larga duración</w:t>
      </w:r>
    </w:p>
    <w:p w14:paraId="5F8DAEF8" w14:textId="77777777" w:rsidR="0002360D" w:rsidRDefault="0002360D" w:rsidP="0002360D">
      <w:pPr>
        <w:pStyle w:val="TEXTONORMAL"/>
        <w:rPr>
          <w:rFonts w:cs="Noto Sans"/>
          <w:szCs w:val="18"/>
        </w:rPr>
      </w:pPr>
      <w:r w:rsidRPr="00FA2219">
        <w:rPr>
          <w:rFonts w:cs="Noto Sans"/>
          <w:szCs w:val="18"/>
        </w:rPr>
        <w:t>Las Reglas Específicas del Registro y Valoración del Patrimonio, no requieren que los Estados Financieros reconozcan el deterioro en el valor de los activos de larga duración como lo establece la NIF C-15 “Deterioro en los Activos de Larga Duración”.</w:t>
      </w:r>
    </w:p>
    <w:p w14:paraId="597E4E50" w14:textId="77777777" w:rsidR="0002360D" w:rsidRPr="00FA2219" w:rsidRDefault="0002360D" w:rsidP="0002360D">
      <w:pPr>
        <w:pStyle w:val="TEXTONORMAL"/>
        <w:rPr>
          <w:rFonts w:cs="Noto Sans"/>
          <w:szCs w:val="18"/>
        </w:rPr>
      </w:pPr>
    </w:p>
    <w:p w14:paraId="5D8F3451" w14:textId="77777777" w:rsidR="0002360D" w:rsidRPr="00FA2219" w:rsidRDefault="0002360D" w:rsidP="00D06BE8">
      <w:pPr>
        <w:pStyle w:val="TEXTONORMAL"/>
        <w:numPr>
          <w:ilvl w:val="0"/>
          <w:numId w:val="67"/>
        </w:numPr>
        <w:ind w:left="714" w:hanging="357"/>
        <w:rPr>
          <w:rFonts w:cs="Noto Sans"/>
          <w:szCs w:val="18"/>
        </w:rPr>
      </w:pPr>
      <w:r w:rsidRPr="00FA2219">
        <w:rPr>
          <w:rFonts w:cs="Noto Sans"/>
          <w:szCs w:val="18"/>
        </w:rPr>
        <w:t>Activos intangibles</w:t>
      </w:r>
    </w:p>
    <w:p w14:paraId="59D6FEC9" w14:textId="77777777" w:rsidR="0002360D" w:rsidRPr="00FA2219" w:rsidRDefault="0002360D" w:rsidP="0002360D">
      <w:pPr>
        <w:pStyle w:val="TEXTONORMAL"/>
        <w:rPr>
          <w:rFonts w:cs="Noto Sans"/>
          <w:szCs w:val="18"/>
        </w:rPr>
      </w:pPr>
      <w:r w:rsidRPr="00FA2219">
        <w:rPr>
          <w:rFonts w:cs="Noto Sans"/>
          <w:szCs w:val="18"/>
        </w:rPr>
        <w:t>El Instituto aplicó el lineamiento contable “E.-Obligaciones Laborales”, así como la guía 33 Obligaciones Laborales incluidas en el MCGSPF para llevar el control de las operaciones relacionadas con el pasivo laboral. En dicha guía se determina la utilización de la cuenta de activos del plan por las provisiones no fondeadas, misma que deberá formar parte de los activos intangibles.</w:t>
      </w:r>
    </w:p>
    <w:p w14:paraId="27F94C6C" w14:textId="73E30030" w:rsidR="0002360D" w:rsidRDefault="0002360D" w:rsidP="0002360D">
      <w:pPr>
        <w:pStyle w:val="TEXTONORMAL"/>
        <w:rPr>
          <w:rFonts w:cs="Noto Sans"/>
          <w:szCs w:val="18"/>
        </w:rPr>
      </w:pPr>
      <w:r w:rsidRPr="00FA2219">
        <w:rPr>
          <w:rFonts w:cs="Noto Sans"/>
          <w:szCs w:val="18"/>
        </w:rPr>
        <w:lastRenderedPageBreak/>
        <w:t>Con base en las Reglas del Fondo para el Cumplimiento de Obligaciones Laborales de Carácter Legal o Contractual vigentes, la Cuenta Especial para el Régimen de Jubilaciones y Pensiones Subcuenta 1 (RJPS1) durante el ejercicio 202</w:t>
      </w:r>
      <w:r w:rsidR="000D3FC1">
        <w:rPr>
          <w:rFonts w:cs="Noto Sans"/>
          <w:szCs w:val="18"/>
        </w:rPr>
        <w:t>4</w:t>
      </w:r>
      <w:r w:rsidRPr="00FA2219">
        <w:rPr>
          <w:rFonts w:cs="Noto Sans"/>
          <w:szCs w:val="18"/>
        </w:rPr>
        <w:t xml:space="preserve"> y </w:t>
      </w:r>
      <w:r w:rsidR="000D3FC1">
        <w:rPr>
          <w:rFonts w:cs="Noto Sans"/>
          <w:szCs w:val="18"/>
        </w:rPr>
        <w:t xml:space="preserve">lo que va del </w:t>
      </w:r>
      <w:r w:rsidRPr="00FA2219">
        <w:rPr>
          <w:rFonts w:cs="Noto Sans"/>
          <w:szCs w:val="18"/>
        </w:rPr>
        <w:t>202</w:t>
      </w:r>
      <w:r w:rsidR="000D3FC1">
        <w:rPr>
          <w:rFonts w:cs="Noto Sans"/>
          <w:szCs w:val="18"/>
        </w:rPr>
        <w:t>5</w:t>
      </w:r>
      <w:r w:rsidRPr="00FA2219">
        <w:rPr>
          <w:rFonts w:cs="Noto Sans"/>
          <w:szCs w:val="18"/>
        </w:rPr>
        <w:t xml:space="preserve"> se incrementó con los recursos que aportaron los trabajadores, lo que disminuyó el Activo Intangible.</w:t>
      </w:r>
    </w:p>
    <w:p w14:paraId="21F59830" w14:textId="77777777" w:rsidR="0002360D" w:rsidRPr="00FA2219" w:rsidRDefault="0002360D" w:rsidP="0002360D">
      <w:pPr>
        <w:pStyle w:val="TEXTONORMAL"/>
        <w:rPr>
          <w:rFonts w:cs="Noto Sans"/>
          <w:szCs w:val="18"/>
        </w:rPr>
      </w:pPr>
    </w:p>
    <w:p w14:paraId="65DC31D1" w14:textId="77777777" w:rsidR="0002360D" w:rsidRPr="00FA2219" w:rsidRDefault="0002360D" w:rsidP="00D06BE8">
      <w:pPr>
        <w:pStyle w:val="TEXTONORMAL"/>
        <w:numPr>
          <w:ilvl w:val="0"/>
          <w:numId w:val="67"/>
        </w:numPr>
        <w:ind w:left="714" w:hanging="357"/>
        <w:rPr>
          <w:rFonts w:cs="Noto Sans"/>
          <w:szCs w:val="18"/>
        </w:rPr>
      </w:pPr>
      <w:r w:rsidRPr="00FA2219">
        <w:rPr>
          <w:rFonts w:cs="Noto Sans"/>
          <w:szCs w:val="18"/>
        </w:rPr>
        <w:t>Pasivos contingentes y compromisos</w:t>
      </w:r>
    </w:p>
    <w:p w14:paraId="4B700A99" w14:textId="77777777" w:rsidR="0002360D" w:rsidRDefault="0002360D" w:rsidP="0002360D">
      <w:pPr>
        <w:pStyle w:val="TEXTONORMAL"/>
        <w:rPr>
          <w:rFonts w:cs="Noto Sans"/>
          <w:szCs w:val="18"/>
        </w:rPr>
      </w:pPr>
      <w:r w:rsidRPr="00FA2219">
        <w:rPr>
          <w:rFonts w:cs="Noto Sans"/>
          <w:szCs w:val="18"/>
        </w:rPr>
        <w:t>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MCGSPF y al artículo 4° fracción XV de la Ley General de Contabilidad Gubernamental.</w:t>
      </w:r>
    </w:p>
    <w:p w14:paraId="01E2D606" w14:textId="77777777" w:rsidR="000D3FC1" w:rsidRDefault="000D3FC1" w:rsidP="0002360D">
      <w:pPr>
        <w:pStyle w:val="TEXTONORMAL"/>
        <w:rPr>
          <w:rFonts w:cs="Noto Sans"/>
          <w:szCs w:val="18"/>
        </w:rPr>
      </w:pPr>
    </w:p>
    <w:p w14:paraId="16FF6632" w14:textId="77777777" w:rsidR="0002360D" w:rsidRPr="00FA2219" w:rsidRDefault="0002360D" w:rsidP="00D06BE8">
      <w:pPr>
        <w:pStyle w:val="INCISO"/>
        <w:numPr>
          <w:ilvl w:val="0"/>
          <w:numId w:val="68"/>
        </w:numPr>
        <w:spacing w:after="120" w:line="250" w:lineRule="exact"/>
        <w:ind w:left="714" w:hanging="357"/>
        <w:rPr>
          <w:rFonts w:ascii="Noto Sans" w:hAnsi="Noto Sans" w:cs="Noto Sans"/>
          <w:lang w:val="es-MX"/>
        </w:rPr>
      </w:pPr>
      <w:r w:rsidRPr="00FA2219">
        <w:rPr>
          <w:rFonts w:ascii="Noto Sans" w:hAnsi="Noto Sans" w:cs="Noto Sans"/>
          <w:lang w:val="es-MX"/>
        </w:rPr>
        <w:t>Segmentos por ramo de seguro</w:t>
      </w:r>
    </w:p>
    <w:p w14:paraId="5F003825" w14:textId="77777777" w:rsidR="0002360D" w:rsidRDefault="0002360D" w:rsidP="0002360D">
      <w:pPr>
        <w:pStyle w:val="INCISO"/>
        <w:spacing w:after="120" w:line="250" w:lineRule="exact"/>
        <w:ind w:left="0" w:firstLine="0"/>
        <w:rPr>
          <w:rFonts w:ascii="Noto Sans" w:hAnsi="Noto Sans" w:cs="Noto Sans"/>
          <w:lang w:val="es-MX"/>
        </w:rPr>
      </w:pPr>
      <w:r w:rsidRPr="00FA2219">
        <w:rPr>
          <w:rFonts w:ascii="Noto Sans" w:hAnsi="Noto Sans" w:cs="Noto Sans"/>
          <w:lang w:val="es-MX"/>
        </w:rPr>
        <w:t xml:space="preserve">Los lineamientos contables del MCGSPF no requieren que los Estados Financieros presenten información detallada por segmentos conforme a las disposiciones contenidas en la NIF B-5 “Información financiera por segmentos”, no </w:t>
      </w:r>
      <w:proofErr w:type="gramStart"/>
      <w:r w:rsidRPr="00FA2219">
        <w:rPr>
          <w:rFonts w:ascii="Noto Sans" w:hAnsi="Noto Sans" w:cs="Noto Sans"/>
          <w:lang w:val="es-MX"/>
        </w:rPr>
        <w:t>obstante</w:t>
      </w:r>
      <w:proofErr w:type="gramEnd"/>
      <w:r w:rsidRPr="00FA2219">
        <w:rPr>
          <w:rFonts w:ascii="Noto Sans" w:hAnsi="Noto Sans" w:cs="Noto Sans"/>
          <w:lang w:val="es-MX"/>
        </w:rPr>
        <w:t xml:space="preserve"> se realiza en cumplimiento a lo establecido en el artículo 277 E de la LSS.</w:t>
      </w:r>
    </w:p>
    <w:p w14:paraId="0FD945BC" w14:textId="77777777" w:rsidR="000D3FC1" w:rsidRPr="00FA2219" w:rsidRDefault="000D3FC1" w:rsidP="0002360D">
      <w:pPr>
        <w:pStyle w:val="INCISO"/>
        <w:spacing w:after="120" w:line="250" w:lineRule="exact"/>
        <w:ind w:left="0" w:firstLine="0"/>
        <w:rPr>
          <w:rFonts w:ascii="Noto Sans" w:hAnsi="Noto Sans" w:cs="Noto Sans"/>
          <w:lang w:val="es-MX"/>
        </w:rPr>
      </w:pPr>
    </w:p>
    <w:p w14:paraId="2676D52F" w14:textId="77777777" w:rsidR="0002360D" w:rsidRPr="00FA2219" w:rsidRDefault="0002360D" w:rsidP="00D06BE8">
      <w:pPr>
        <w:pStyle w:val="INCISO"/>
        <w:numPr>
          <w:ilvl w:val="0"/>
          <w:numId w:val="68"/>
        </w:numPr>
        <w:spacing w:after="120" w:line="250" w:lineRule="exact"/>
        <w:ind w:left="714" w:hanging="357"/>
        <w:rPr>
          <w:rFonts w:ascii="Noto Sans" w:hAnsi="Noto Sans" w:cs="Noto Sans"/>
          <w:lang w:val="es-MX"/>
        </w:rPr>
      </w:pPr>
      <w:r w:rsidRPr="00FA2219">
        <w:rPr>
          <w:rFonts w:ascii="Noto Sans" w:hAnsi="Noto Sans" w:cs="Noto Sans"/>
          <w:lang w:val="es-MX"/>
        </w:rPr>
        <w:t>Propósito de los Estados Financieros</w:t>
      </w:r>
    </w:p>
    <w:p w14:paraId="37DD3B93" w14:textId="731F1065" w:rsidR="0002360D" w:rsidRDefault="0002360D" w:rsidP="0002360D">
      <w:pPr>
        <w:pStyle w:val="INCISO"/>
        <w:spacing w:after="120" w:line="250" w:lineRule="exact"/>
        <w:ind w:left="0" w:firstLine="0"/>
        <w:rPr>
          <w:rFonts w:ascii="Noto Sans" w:hAnsi="Noto Sans" w:cs="Noto Sans"/>
          <w:lang w:val="es-MX"/>
        </w:rPr>
      </w:pPr>
      <w:r w:rsidRPr="00FA2219">
        <w:rPr>
          <w:rFonts w:ascii="Noto Sans" w:hAnsi="Noto Sans" w:cs="Noto Sans"/>
          <w:lang w:val="es-MX"/>
        </w:rPr>
        <w:t>Los Estados Financieros al 3</w:t>
      </w:r>
      <w:r w:rsidR="007D2762">
        <w:rPr>
          <w:rFonts w:ascii="Noto Sans" w:hAnsi="Noto Sans" w:cs="Noto Sans"/>
          <w:lang w:val="es-MX"/>
        </w:rPr>
        <w:t>0</w:t>
      </w:r>
      <w:r w:rsidRPr="00FA2219">
        <w:rPr>
          <w:rFonts w:ascii="Noto Sans" w:hAnsi="Noto Sans" w:cs="Noto Sans"/>
          <w:lang w:val="es-MX"/>
        </w:rPr>
        <w:t xml:space="preserve"> de </w:t>
      </w:r>
      <w:r w:rsidR="007D2762">
        <w:rPr>
          <w:rFonts w:ascii="Noto Sans" w:hAnsi="Noto Sans" w:cs="Noto Sans"/>
          <w:lang w:val="es-MX"/>
        </w:rPr>
        <w:t>junio</w:t>
      </w:r>
      <w:r w:rsidR="00650E3E">
        <w:rPr>
          <w:rFonts w:ascii="Noto Sans" w:hAnsi="Noto Sans" w:cs="Noto Sans"/>
          <w:lang w:val="es-MX"/>
        </w:rPr>
        <w:t xml:space="preserve"> </w:t>
      </w:r>
      <w:r w:rsidRPr="00FA2219">
        <w:rPr>
          <w:rFonts w:ascii="Noto Sans" w:hAnsi="Noto Sans" w:cs="Noto Sans"/>
          <w:lang w:val="es-MX"/>
        </w:rPr>
        <w:t>de 202</w:t>
      </w:r>
      <w:r w:rsidR="000D3FC1">
        <w:rPr>
          <w:rFonts w:ascii="Noto Sans" w:hAnsi="Noto Sans" w:cs="Noto Sans"/>
          <w:lang w:val="es-MX"/>
        </w:rPr>
        <w:t>5</w:t>
      </w:r>
      <w:r w:rsidRPr="00FA2219">
        <w:rPr>
          <w:rFonts w:ascii="Noto Sans" w:hAnsi="Noto Sans" w:cs="Noto Sans"/>
          <w:lang w:val="es-MX"/>
        </w:rPr>
        <w:t xml:space="preserve"> y</w:t>
      </w:r>
      <w:r w:rsidR="000D3FC1">
        <w:rPr>
          <w:rFonts w:ascii="Noto Sans" w:hAnsi="Noto Sans" w:cs="Noto Sans"/>
          <w:lang w:val="es-MX"/>
        </w:rPr>
        <w:t xml:space="preserve"> </w:t>
      </w:r>
      <w:r w:rsidR="000D3FC1" w:rsidRPr="00FA2219">
        <w:rPr>
          <w:rFonts w:ascii="Noto Sans" w:hAnsi="Noto Sans" w:cs="Noto Sans"/>
          <w:lang w:val="es-MX"/>
        </w:rPr>
        <w:t>al 31 de diciembre de</w:t>
      </w:r>
      <w:r w:rsidRPr="00FA2219">
        <w:rPr>
          <w:rFonts w:ascii="Noto Sans" w:hAnsi="Noto Sans" w:cs="Noto Sans"/>
          <w:lang w:val="es-MX"/>
        </w:rPr>
        <w:t xml:space="preserve"> 202</w:t>
      </w:r>
      <w:r w:rsidR="000D3FC1">
        <w:rPr>
          <w:rFonts w:ascii="Noto Sans" w:hAnsi="Noto Sans" w:cs="Noto Sans"/>
          <w:lang w:val="es-MX"/>
        </w:rPr>
        <w:t>4</w:t>
      </w:r>
      <w:r w:rsidRPr="00FA2219">
        <w:rPr>
          <w:rFonts w:ascii="Noto Sans" w:hAnsi="Noto Sans" w:cs="Noto Sans"/>
          <w:lang w:val="es-MX"/>
        </w:rPr>
        <w:t xml:space="preserve"> han sido preparados para cumplir con los requerimientos normativos gubernamentales a que está sujeto el Instituto, y están presentados en los formatos de la cuenta pública que para tal efecto fueron establecidos por la UCG de la SHCP.</w:t>
      </w:r>
    </w:p>
    <w:p w14:paraId="3FBE8082" w14:textId="77777777" w:rsidR="00825395" w:rsidRPr="00FA2219" w:rsidRDefault="00825395" w:rsidP="0002360D">
      <w:pPr>
        <w:pStyle w:val="INCISO"/>
        <w:spacing w:after="120" w:line="250" w:lineRule="exact"/>
        <w:ind w:left="0" w:firstLine="0"/>
        <w:rPr>
          <w:rFonts w:ascii="Noto Sans" w:hAnsi="Noto Sans" w:cs="Noto Sans"/>
          <w:lang w:val="es-MX"/>
        </w:rPr>
      </w:pPr>
    </w:p>
    <w:p w14:paraId="58CF1EB0" w14:textId="055FC356" w:rsidR="0002360D" w:rsidRPr="00FA2219" w:rsidRDefault="001F0B62" w:rsidP="00D06BE8">
      <w:pPr>
        <w:pStyle w:val="TEXTONORMAL"/>
        <w:numPr>
          <w:ilvl w:val="0"/>
          <w:numId w:val="40"/>
        </w:numPr>
        <w:ind w:left="357" w:hanging="357"/>
        <w:rPr>
          <w:rFonts w:cs="Noto Sans"/>
          <w:szCs w:val="18"/>
        </w:rPr>
      </w:pPr>
      <w:r>
        <w:rPr>
          <w:rFonts w:cs="Noto Sans"/>
          <w:szCs w:val="18"/>
        </w:rPr>
        <w:t xml:space="preserve">5. </w:t>
      </w:r>
      <w:r w:rsidR="0002360D" w:rsidRPr="00FA2219">
        <w:rPr>
          <w:rFonts w:cs="Noto Sans"/>
          <w:szCs w:val="18"/>
        </w:rPr>
        <w:t>Políticas de contabilidad significativas</w:t>
      </w:r>
    </w:p>
    <w:p w14:paraId="1CD92D31" w14:textId="54AA72E3" w:rsidR="0002360D" w:rsidRDefault="0002360D" w:rsidP="0002360D">
      <w:pPr>
        <w:pStyle w:val="TEXTONORMAL"/>
        <w:rPr>
          <w:rFonts w:cs="Noto Sans"/>
          <w:szCs w:val="18"/>
        </w:rPr>
      </w:pPr>
      <w:r w:rsidRPr="00FA2219">
        <w:rPr>
          <w:rFonts w:cs="Noto Sans"/>
          <w:szCs w:val="18"/>
        </w:rPr>
        <w:t xml:space="preserve">A continuación, se resumen las principales políticas contables utilizadas en la elaboración de los Estados Financieros del Instituto, las cuales han sido consistentes en los ejercicios de 2024 y </w:t>
      </w:r>
      <w:r w:rsidR="000D3FC1">
        <w:rPr>
          <w:rFonts w:cs="Noto Sans"/>
          <w:szCs w:val="18"/>
        </w:rPr>
        <w:t xml:space="preserve">lo que va del </w:t>
      </w:r>
      <w:r w:rsidRPr="00FA2219">
        <w:rPr>
          <w:rFonts w:cs="Noto Sans"/>
          <w:szCs w:val="18"/>
        </w:rPr>
        <w:t>202</w:t>
      </w:r>
      <w:r w:rsidR="000D3FC1">
        <w:rPr>
          <w:rFonts w:cs="Noto Sans"/>
          <w:szCs w:val="18"/>
        </w:rPr>
        <w:t>5.</w:t>
      </w:r>
    </w:p>
    <w:p w14:paraId="7A12C394" w14:textId="77777777" w:rsidR="000D3FC1" w:rsidRPr="00FA2219" w:rsidRDefault="000D3FC1" w:rsidP="0002360D">
      <w:pPr>
        <w:pStyle w:val="TEXTONORMAL"/>
        <w:rPr>
          <w:rFonts w:cs="Noto Sans"/>
          <w:szCs w:val="18"/>
        </w:rPr>
      </w:pPr>
    </w:p>
    <w:p w14:paraId="52A76FD1" w14:textId="77777777" w:rsidR="0002360D" w:rsidRPr="00FA2219" w:rsidRDefault="0002360D" w:rsidP="00D06BE8">
      <w:pPr>
        <w:pStyle w:val="TEXTONORMAL"/>
        <w:numPr>
          <w:ilvl w:val="0"/>
          <w:numId w:val="69"/>
        </w:numPr>
        <w:ind w:left="714" w:hanging="357"/>
        <w:rPr>
          <w:rFonts w:cs="Noto Sans"/>
          <w:szCs w:val="18"/>
        </w:rPr>
      </w:pPr>
      <w:r w:rsidRPr="00FA2219">
        <w:rPr>
          <w:rFonts w:cs="Noto Sans"/>
          <w:szCs w:val="18"/>
        </w:rPr>
        <w:t>Moneda funcional y de informe</w:t>
      </w:r>
    </w:p>
    <w:p w14:paraId="7C79758C" w14:textId="77777777" w:rsidR="0002360D" w:rsidRPr="00FA2219" w:rsidRDefault="0002360D" w:rsidP="0002360D">
      <w:pPr>
        <w:pStyle w:val="TEXTONORMAL"/>
        <w:rPr>
          <w:rFonts w:cs="Noto Sans"/>
          <w:szCs w:val="18"/>
        </w:rPr>
      </w:pPr>
      <w:r w:rsidRPr="00FA2219">
        <w:rPr>
          <w:rFonts w:cs="Noto Sans"/>
          <w:szCs w:val="18"/>
        </w:rPr>
        <w:t>Los Estados Financieros se presentan en moneda de informe peso mexicano, que es igual a la moneda de registro y a su moneda funcional.</w:t>
      </w:r>
    </w:p>
    <w:p w14:paraId="5A9F66C8" w14:textId="77777777" w:rsidR="0002360D" w:rsidRDefault="0002360D" w:rsidP="0002360D">
      <w:pPr>
        <w:pStyle w:val="TEXTONORMAL"/>
        <w:rPr>
          <w:rFonts w:cs="Noto Sans"/>
          <w:szCs w:val="18"/>
        </w:rPr>
      </w:pPr>
      <w:r w:rsidRPr="00FA2219">
        <w:rPr>
          <w:rFonts w:cs="Noto Sans"/>
          <w:szCs w:val="18"/>
        </w:rPr>
        <w:t>Para propósitos de revelación en las notas a los Estados Financieros, cuando se hace referencia a pesos, se trata de pesos mexicanos y para la posición en moneda extranjera se hace referencia a USD o dólares americanos.</w:t>
      </w:r>
    </w:p>
    <w:p w14:paraId="5EC116C5" w14:textId="77777777" w:rsidR="000D3FC1" w:rsidRDefault="000D3FC1" w:rsidP="0002360D">
      <w:pPr>
        <w:pStyle w:val="TEXTONORMAL"/>
        <w:rPr>
          <w:rFonts w:cs="Noto Sans"/>
          <w:szCs w:val="18"/>
        </w:rPr>
      </w:pPr>
    </w:p>
    <w:p w14:paraId="32356628" w14:textId="77777777" w:rsidR="00CC7171" w:rsidRPr="00FA2219" w:rsidRDefault="00CC7171" w:rsidP="0002360D">
      <w:pPr>
        <w:pStyle w:val="TEXTONORMAL"/>
        <w:rPr>
          <w:rFonts w:cs="Noto Sans"/>
          <w:szCs w:val="18"/>
        </w:rPr>
      </w:pPr>
    </w:p>
    <w:p w14:paraId="3036E84A" w14:textId="77777777" w:rsidR="0002360D" w:rsidRPr="00FA2219" w:rsidRDefault="0002360D" w:rsidP="00D06BE8">
      <w:pPr>
        <w:pStyle w:val="TEXTONORMAL"/>
        <w:numPr>
          <w:ilvl w:val="0"/>
          <w:numId w:val="71"/>
        </w:numPr>
        <w:ind w:left="714" w:hanging="357"/>
        <w:rPr>
          <w:rFonts w:cs="Noto Sans"/>
          <w:szCs w:val="18"/>
        </w:rPr>
      </w:pPr>
      <w:r w:rsidRPr="00FA2219">
        <w:rPr>
          <w:rFonts w:cs="Noto Sans"/>
          <w:szCs w:val="18"/>
        </w:rPr>
        <w:lastRenderedPageBreak/>
        <w:t>Base del costo histórico</w:t>
      </w:r>
    </w:p>
    <w:p w14:paraId="20B54D7B" w14:textId="2B615CEE" w:rsidR="000D3FC1" w:rsidRPr="00FA2219" w:rsidRDefault="0002360D" w:rsidP="0002360D">
      <w:pPr>
        <w:pStyle w:val="TEXTONORMAL"/>
        <w:rPr>
          <w:rFonts w:cs="Noto Sans"/>
          <w:szCs w:val="18"/>
        </w:rPr>
      </w:pPr>
      <w:r w:rsidRPr="00FA2219">
        <w:rPr>
          <w:rFonts w:cs="Noto Sans"/>
          <w:szCs w:val="18"/>
        </w:rPr>
        <w:t>Los Estados Financieros han sido preparados con base en el costo histórico, excepto por las partidas no monetarias que hayan sido adquiridas o reconocidas en los Estados Financieros antes del 31 de diciembre de 2007, en cuyo caso incorporan los efectos de la inflación, desde su reconocimiento inicial en los Estados Financieros y hasta el 31 de diciembre de 2007.</w:t>
      </w:r>
    </w:p>
    <w:p w14:paraId="7A506B2A" w14:textId="77777777" w:rsidR="0002360D" w:rsidRPr="00FA2219" w:rsidRDefault="0002360D" w:rsidP="00D06BE8">
      <w:pPr>
        <w:pStyle w:val="TEXTONORMAL"/>
        <w:numPr>
          <w:ilvl w:val="0"/>
          <w:numId w:val="72"/>
        </w:numPr>
        <w:ind w:left="714" w:hanging="357"/>
        <w:rPr>
          <w:rFonts w:cs="Noto Sans"/>
          <w:szCs w:val="18"/>
        </w:rPr>
      </w:pPr>
      <w:r w:rsidRPr="00FA2219">
        <w:rPr>
          <w:rFonts w:cs="Noto Sans"/>
          <w:szCs w:val="18"/>
        </w:rPr>
        <w:t>Reconocimiento de ingresos</w:t>
      </w:r>
    </w:p>
    <w:p w14:paraId="7A2C2DC1" w14:textId="77777777" w:rsidR="0002360D" w:rsidRPr="00FA2219" w:rsidRDefault="0002360D" w:rsidP="0002360D">
      <w:pPr>
        <w:pStyle w:val="TEXTONORMAL"/>
        <w:rPr>
          <w:rFonts w:cs="Noto Sans"/>
          <w:szCs w:val="18"/>
        </w:rPr>
      </w:pPr>
      <w:r w:rsidRPr="00FA2219">
        <w:rPr>
          <w:rFonts w:cs="Noto Sans"/>
          <w:szCs w:val="18"/>
        </w:rPr>
        <w:t>El Instituto reconoce los ingresos que recibe por los siguientes conceptos como se detalla a continuación:</w:t>
      </w:r>
    </w:p>
    <w:p w14:paraId="0BE43CED" w14:textId="77777777" w:rsidR="0002360D" w:rsidRPr="00FA2219" w:rsidRDefault="0002360D" w:rsidP="00D06BE8">
      <w:pPr>
        <w:pStyle w:val="TEXTONORMAL"/>
        <w:numPr>
          <w:ilvl w:val="0"/>
          <w:numId w:val="70"/>
        </w:numPr>
        <w:ind w:left="998" w:hanging="284"/>
        <w:rPr>
          <w:rFonts w:cs="Noto Sans"/>
          <w:szCs w:val="18"/>
        </w:rPr>
      </w:pPr>
      <w:r w:rsidRPr="00FA2219">
        <w:rPr>
          <w:rFonts w:cs="Noto Sans"/>
          <w:szCs w:val="18"/>
        </w:rPr>
        <w:t>Cuotas obrero-patronales</w:t>
      </w:r>
    </w:p>
    <w:p w14:paraId="4E0214A8" w14:textId="77777777" w:rsidR="0002360D" w:rsidRDefault="0002360D" w:rsidP="0002360D">
      <w:pPr>
        <w:pStyle w:val="TEXTONORMAL"/>
        <w:rPr>
          <w:rFonts w:cs="Noto Sans"/>
          <w:szCs w:val="18"/>
        </w:rPr>
      </w:pPr>
      <w:r w:rsidRPr="00FA2219">
        <w:rPr>
          <w:rFonts w:cs="Noto Sans"/>
          <w:szCs w:val="18"/>
        </w:rPr>
        <w:t>Los ingresos por este concepto se registran al cierre de cada mes, con base en los días cotizados por los trabajadores y los factores establecidos en la LSS, para cada ramo de seguro.</w:t>
      </w:r>
    </w:p>
    <w:p w14:paraId="40DF5297" w14:textId="77777777" w:rsidR="0002360D" w:rsidRPr="00543195" w:rsidRDefault="0002360D" w:rsidP="00D06BE8">
      <w:pPr>
        <w:pStyle w:val="TEXTONORMAL"/>
        <w:numPr>
          <w:ilvl w:val="0"/>
          <w:numId w:val="70"/>
        </w:numPr>
        <w:ind w:left="998" w:hanging="284"/>
      </w:pPr>
      <w:r w:rsidRPr="00543195">
        <w:t>Aportación del Gobierno Federal para la Seguridad Social</w:t>
      </w:r>
    </w:p>
    <w:p w14:paraId="5270315D" w14:textId="77777777" w:rsidR="0002360D" w:rsidRDefault="0002360D" w:rsidP="0002360D">
      <w:pPr>
        <w:pStyle w:val="TEXTONORMAL"/>
      </w:pPr>
      <w:r>
        <w:t>Los ingresos por este concepto se determinan al inicio del año con base en el PEF. Mensualmente con base en los factores establecidos en la LSS, se registran los ingresos devengados, y al cierre de cada ejercicio se determina la diferencia entre el PEF y los ingresos devengados.</w:t>
      </w:r>
    </w:p>
    <w:p w14:paraId="0A892ED8" w14:textId="77777777" w:rsidR="0002360D" w:rsidRPr="00543195" w:rsidRDefault="0002360D" w:rsidP="00D06BE8">
      <w:pPr>
        <w:pStyle w:val="TEXTONORMAL"/>
        <w:numPr>
          <w:ilvl w:val="0"/>
          <w:numId w:val="70"/>
        </w:numPr>
        <w:ind w:left="998" w:hanging="284"/>
      </w:pPr>
      <w:r w:rsidRPr="00543195">
        <w:t>Venta de mercancía</w:t>
      </w:r>
    </w:p>
    <w:p w14:paraId="4BD6CEC3" w14:textId="77777777" w:rsidR="0002360D" w:rsidRDefault="0002360D" w:rsidP="0002360D">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14:paraId="129A834C" w14:textId="5101DEE9" w:rsidR="000D3FC1" w:rsidRDefault="0002360D" w:rsidP="0002360D">
      <w:pPr>
        <w:pStyle w:val="TEXTONORMAL"/>
      </w:pPr>
      <w:r>
        <w:t>Generalmente los riesgos y beneficios significativos son transferidos a los clientes cuando estos reciben y aceptan las mercancías que les fueron entregadas.</w:t>
      </w:r>
    </w:p>
    <w:p w14:paraId="0DAAD7EF" w14:textId="77777777" w:rsidR="0002360D" w:rsidRPr="00543195" w:rsidRDefault="0002360D" w:rsidP="00D06BE8">
      <w:pPr>
        <w:pStyle w:val="TEXTONORMAL"/>
        <w:numPr>
          <w:ilvl w:val="0"/>
          <w:numId w:val="70"/>
        </w:numPr>
        <w:ind w:left="998" w:hanging="284"/>
      </w:pPr>
      <w:r w:rsidRPr="00543195">
        <w:t>Aportaciones del Gobierno Federal para las Pensiones en curso de pago.</w:t>
      </w:r>
    </w:p>
    <w:p w14:paraId="6E2AB5C7" w14:textId="77777777" w:rsidR="0002360D" w:rsidRDefault="0002360D" w:rsidP="0002360D">
      <w:pPr>
        <w:pStyle w:val="TEXTONORMAL"/>
      </w:pPr>
      <w:r>
        <w:t>De conformidad con el artículo Duodécimo transitorio de la LSS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LSS de 1973.</w:t>
      </w:r>
    </w:p>
    <w:p w14:paraId="778C77D8" w14:textId="77777777" w:rsidR="0002360D" w:rsidRDefault="0002360D" w:rsidP="0002360D">
      <w:pPr>
        <w:pStyle w:val="TEXTONORMAL"/>
      </w:pPr>
      <w:r>
        <w:t>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21 del MCGSPF; no obstante para efectos presupuestales dichos recursos sí se reconocen como un ingreso y egreso presupuestal.</w:t>
      </w:r>
    </w:p>
    <w:p w14:paraId="0F613CC1" w14:textId="77777777" w:rsidR="0002360D" w:rsidRPr="00543195" w:rsidRDefault="0002360D" w:rsidP="00D06BE8">
      <w:pPr>
        <w:pStyle w:val="TEXTONORMAL"/>
        <w:numPr>
          <w:ilvl w:val="0"/>
          <w:numId w:val="73"/>
        </w:numPr>
        <w:ind w:left="714" w:hanging="357"/>
      </w:pPr>
      <w:r w:rsidRPr="00543195">
        <w:t>Uso de estimaciones</w:t>
      </w:r>
    </w:p>
    <w:p w14:paraId="2F98AC9A" w14:textId="157139DB" w:rsidR="00CA5890" w:rsidRDefault="0002360D" w:rsidP="0002360D">
      <w:pPr>
        <w:pStyle w:val="TEXTONORMAL"/>
      </w:pPr>
      <w:r>
        <w:t xml:space="preserve">La preparación de los Estados Financieros requiere que el Instituto realice estimaciones y supuestos que afectan los montos reportados de activos y pasivos, la revelación de activos y pasivos contingentes a la fecha de los Estados Financieros, así como las cifras reportadas de ingresos y gastos durante los períodos reportados. Los resultados reales pueden diferir de aquellos que han sido estimados. Las principales estimaciones y supuestos corresponden a Estimaciones de Cuentas por Cobrar de Cuotas Obrero-Patronales, de Multas de Cuotas Obrero-Patronales, de Deudores Diversos y por Deterioro de Inventarios, las cuales se detallan en la nota </w:t>
      </w:r>
      <w:r w:rsidR="002B165A">
        <w:t>3</w:t>
      </w:r>
      <w:r>
        <w:t>.6.</w:t>
      </w:r>
    </w:p>
    <w:p w14:paraId="7B4B540A" w14:textId="77777777" w:rsidR="0002360D" w:rsidRPr="00543195" w:rsidRDefault="0002360D" w:rsidP="00D06BE8">
      <w:pPr>
        <w:pStyle w:val="TEXTONORMAL"/>
        <w:numPr>
          <w:ilvl w:val="0"/>
          <w:numId w:val="73"/>
        </w:numPr>
        <w:ind w:left="714" w:hanging="357"/>
      </w:pPr>
      <w:r w:rsidRPr="00543195">
        <w:lastRenderedPageBreak/>
        <w:t>Efectivo y equivalentes de efectivo</w:t>
      </w:r>
    </w:p>
    <w:p w14:paraId="13E403D7" w14:textId="77777777" w:rsidR="0002360D" w:rsidRDefault="0002360D" w:rsidP="0002360D">
      <w:pPr>
        <w:pStyle w:val="TEXTONORMAL"/>
      </w:pPr>
      <w:r>
        <w:t>El efectivo y equivalentes están representados principalmente por depósitos bancarios e inversiones en instrumentos de alta liquidez, con vencimientos no mayores a 90 días.</w:t>
      </w:r>
    </w:p>
    <w:p w14:paraId="2D73FA7E" w14:textId="77777777" w:rsidR="0002360D" w:rsidRPr="00543195" w:rsidRDefault="0002360D" w:rsidP="00D06BE8">
      <w:pPr>
        <w:pStyle w:val="TEXTONORMAL"/>
        <w:numPr>
          <w:ilvl w:val="0"/>
          <w:numId w:val="73"/>
        </w:numPr>
        <w:ind w:left="714" w:hanging="357"/>
      </w:pPr>
      <w:r w:rsidRPr="00543195">
        <w:t>Créditos hipotecarios y préstamos a mediano plazo al personal</w:t>
      </w:r>
    </w:p>
    <w:p w14:paraId="555D6DC4" w14:textId="77777777" w:rsidR="0002360D" w:rsidRDefault="0002360D" w:rsidP="0002360D">
      <w:pPr>
        <w:pStyle w:val="TEXTONORMAL"/>
      </w:pPr>
      <w:r>
        <w:t>Los créditos hipotecarios y préstamos al personal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14:paraId="1412DA9D" w14:textId="77777777" w:rsidR="0002360D" w:rsidRPr="00543195" w:rsidRDefault="0002360D" w:rsidP="00D06BE8">
      <w:pPr>
        <w:pStyle w:val="TEXTONORMAL"/>
        <w:numPr>
          <w:ilvl w:val="0"/>
          <w:numId w:val="73"/>
        </w:numPr>
        <w:ind w:left="714" w:hanging="357"/>
      </w:pPr>
      <w:r w:rsidRPr="00543195">
        <w:t>Inventarios</w:t>
      </w:r>
    </w:p>
    <w:p w14:paraId="3259817E" w14:textId="77777777" w:rsidR="0002360D" w:rsidRDefault="0002360D" w:rsidP="0002360D">
      <w:pPr>
        <w:pStyle w:val="TEXTONORMAL"/>
      </w:pPr>
      <w:r>
        <w:t>Las mercancías en tiendas se encuentran valuadas por el método de costos promedios. Los inventarios, incluyendo artículos obsoletos, de lento movimiento, defectuosos o en mal estado, se encuentran registrados a valores que no exceden su valor estimado de realización.</w:t>
      </w:r>
    </w:p>
    <w:p w14:paraId="04E8481E" w14:textId="77777777" w:rsidR="0002360D" w:rsidRPr="00543195" w:rsidRDefault="0002360D" w:rsidP="00D06BE8">
      <w:pPr>
        <w:pStyle w:val="TEXTONORMAL"/>
        <w:numPr>
          <w:ilvl w:val="0"/>
          <w:numId w:val="74"/>
        </w:numPr>
        <w:ind w:left="714" w:hanging="357"/>
      </w:pPr>
      <w:r w:rsidRPr="00543195">
        <w:t>Almacenes</w:t>
      </w:r>
    </w:p>
    <w:p w14:paraId="5E236AEF" w14:textId="77777777" w:rsidR="0002360D" w:rsidRDefault="0002360D" w:rsidP="0002360D">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0FCA29F8" w14:textId="77777777" w:rsidR="0002360D" w:rsidRDefault="0002360D" w:rsidP="0002360D">
      <w:pPr>
        <w:pStyle w:val="TEXTONORMAL"/>
      </w:pPr>
      <w:r>
        <w:t xml:space="preserve">La estimación por deterioro de inventarios se determina aplicando el 0.5% </w:t>
      </w:r>
      <w:r w:rsidRPr="004F2976">
        <w:t>al importe de la suma de la valorización de las existencias mensuales del ejercicio fiscal próximo pasado</w:t>
      </w:r>
      <w:r>
        <w:t>, y se aplica conforme ocurren situaciones que generan mermas o bajas de almacenes por caducidad.</w:t>
      </w:r>
    </w:p>
    <w:p w14:paraId="217A3C4A" w14:textId="77777777" w:rsidR="0002360D" w:rsidRPr="00543195" w:rsidRDefault="0002360D" w:rsidP="00D06BE8">
      <w:pPr>
        <w:pStyle w:val="TEXTONORMAL"/>
        <w:numPr>
          <w:ilvl w:val="0"/>
          <w:numId w:val="74"/>
        </w:numPr>
        <w:ind w:left="714" w:hanging="357"/>
      </w:pPr>
      <w:r w:rsidRPr="00543195">
        <w:t>Arrendamientos</w:t>
      </w:r>
    </w:p>
    <w:p w14:paraId="47FCE234" w14:textId="77777777" w:rsidR="0002360D" w:rsidRDefault="0002360D" w:rsidP="0002360D">
      <w:pPr>
        <w:pStyle w:val="TEXTONORMAL"/>
      </w:pPr>
      <w:r>
        <w:t>Cuando los riesgos y beneficios inherentes a la propiedad del activo arrendado permanecen sustancialmente con el arrendador, se clasifican como arrendamientos operativos y las rentas devengadas se cargan a resultados conforme se incurren.</w:t>
      </w:r>
    </w:p>
    <w:p w14:paraId="58427F49" w14:textId="77777777" w:rsidR="0002360D" w:rsidRPr="00543195" w:rsidRDefault="0002360D" w:rsidP="00D06BE8">
      <w:pPr>
        <w:pStyle w:val="TEXTONORMAL"/>
        <w:numPr>
          <w:ilvl w:val="0"/>
          <w:numId w:val="75"/>
        </w:numPr>
        <w:ind w:left="714" w:hanging="357"/>
      </w:pPr>
      <w:r w:rsidRPr="00543195">
        <w:t>Pasivos, provisiones, activos y pasivos contingentes y compromisos</w:t>
      </w:r>
    </w:p>
    <w:p w14:paraId="0A19FC1F" w14:textId="77777777" w:rsidR="0002360D" w:rsidRDefault="0002360D" w:rsidP="0002360D">
      <w:pPr>
        <w:pStyle w:val="TEXTONORMAL"/>
      </w:pPr>
      <w:r>
        <w:t xml:space="preserve">Los pasivos por provisiones se reconocen cuando: i) existe una obligación presente (legal o asumida) como resultado de un evento pasado, </w:t>
      </w:r>
      <w:proofErr w:type="spellStart"/>
      <w:r>
        <w:t>ii</w:t>
      </w:r>
      <w:proofErr w:type="spellEnd"/>
      <w:r>
        <w:t xml:space="preserve">) es probable que se requiera la salida de recursos económicos como medio para liquidar dicha obligación, y </w:t>
      </w:r>
      <w:proofErr w:type="spellStart"/>
      <w:r>
        <w:t>iii</w:t>
      </w:r>
      <w:proofErr w:type="spellEnd"/>
      <w:r>
        <w:t xml:space="preserve">) la obligación pueda ser estimada razonablemente. </w:t>
      </w:r>
    </w:p>
    <w:p w14:paraId="21E9FA9E" w14:textId="77777777" w:rsidR="0002360D" w:rsidRPr="00C4253E" w:rsidRDefault="0002360D" w:rsidP="0002360D">
      <w:pPr>
        <w:pStyle w:val="TEXTONORMAL"/>
      </w:pPr>
      <w:r>
        <w:t xml:space="preserve">Las provisiones por pasivos contingentes se reconocen solamente cuando es probable la salida de recursos para su extinción. </w:t>
      </w:r>
    </w:p>
    <w:p w14:paraId="28405292" w14:textId="77777777" w:rsidR="0002360D" w:rsidRPr="00320D3B" w:rsidRDefault="0002360D" w:rsidP="0002360D">
      <w:pPr>
        <w:pStyle w:val="TEXTONORMAL"/>
        <w:spacing w:after="0" w:line="276" w:lineRule="auto"/>
        <w:rPr>
          <w:iCs/>
        </w:rPr>
      </w:pPr>
      <w:r w:rsidRPr="00C4253E">
        <w:rPr>
          <w:rFonts w:eastAsia="Times New Roman"/>
          <w:color w:val="000000"/>
        </w:rPr>
        <w:t xml:space="preserve">Los juicios con laudo firme condenatorio fueron provisionados, de conformidad con los “Lineamientos para el registro de la provisión y pago de laudos y/o convenios”, </w:t>
      </w:r>
      <w:r w:rsidRPr="002B5901">
        <w:rPr>
          <w:rFonts w:eastAsia="Times New Roman"/>
          <w:color w:val="000000"/>
        </w:rPr>
        <w:t xml:space="preserve">establecidos en el oficio mancomunado </w:t>
      </w:r>
      <w:r w:rsidRPr="002B5901">
        <w:rPr>
          <w:iCs/>
        </w:rPr>
        <w:t>0990016B1000/DTE/2021000/605, 095279614A30/694 y 0954061A40/0697, de fecha 04 de agosto de 2021, emitido en forma transversal por las Coordinaciones de Presupuesto y Gestión del Gasto en Servicios Personales, Laboral y de Contabilidad y Trámite de Erogaciones.</w:t>
      </w:r>
    </w:p>
    <w:p w14:paraId="6144D67F" w14:textId="77777777" w:rsidR="0002360D" w:rsidRPr="00E0791C" w:rsidRDefault="0002360D" w:rsidP="00D06BE8">
      <w:pPr>
        <w:pStyle w:val="TEXTONORMAL"/>
        <w:numPr>
          <w:ilvl w:val="3"/>
          <w:numId w:val="76"/>
        </w:numPr>
        <w:ind w:left="998" w:hanging="284"/>
        <w:rPr>
          <w:rFonts w:cs="Noto Sans"/>
        </w:rPr>
      </w:pPr>
      <w:r w:rsidRPr="00E0791C">
        <w:rPr>
          <w:rFonts w:cs="Noto Sans"/>
        </w:rPr>
        <w:t>Para las Jefaturas de Servicios Jurídicos en los Órganos de Operación Administrativa Desconcentrada y/o la División de Asuntos Jurídicos de Nivel Central.</w:t>
      </w:r>
    </w:p>
    <w:p w14:paraId="28E5BFBF" w14:textId="77777777" w:rsidR="0002360D" w:rsidRPr="00E0791C" w:rsidRDefault="0002360D" w:rsidP="0002360D">
      <w:pPr>
        <w:ind w:right="-94"/>
        <w:jc w:val="both"/>
        <w:rPr>
          <w:rFonts w:ascii="Noto Sans" w:hAnsi="Noto Sans" w:cs="Noto Sans"/>
          <w:iCs/>
          <w:sz w:val="18"/>
          <w:szCs w:val="18"/>
        </w:rPr>
      </w:pPr>
      <w:r w:rsidRPr="00E0791C">
        <w:rPr>
          <w:rFonts w:ascii="Noto Sans" w:hAnsi="Noto Sans" w:cs="Noto Sans"/>
          <w:iCs/>
          <w:sz w:val="18"/>
          <w:szCs w:val="18"/>
        </w:rPr>
        <w:t xml:space="preserve">El derecho del Trabajo pertenece a la rama del derecho social, por lo que es proteccionista de la clase trabajadora y en virtud de que las acciones que se reclaman dentro de los juicios laborales tales como: el pago de salarios vencidos, indemnizaciones, pago de jubilaciones y pensiones, entre otras, son </w:t>
      </w:r>
      <w:r w:rsidRPr="00E0791C">
        <w:rPr>
          <w:rFonts w:ascii="Noto Sans" w:hAnsi="Noto Sans" w:cs="Noto Sans"/>
          <w:iCs/>
          <w:sz w:val="18"/>
          <w:szCs w:val="18"/>
        </w:rPr>
        <w:lastRenderedPageBreak/>
        <w:t>susceptibles de incrementarse por el transcurso del tiempo, los juicios laborales podrán ser registrados en el gasto devengado cuando se conozca el monto real del juicio y sentencia definitiva.</w:t>
      </w:r>
    </w:p>
    <w:p w14:paraId="10F9D4A9" w14:textId="77777777" w:rsidR="0002360D" w:rsidRPr="00E0791C" w:rsidRDefault="0002360D" w:rsidP="0002360D">
      <w:pPr>
        <w:ind w:right="-94"/>
        <w:jc w:val="both"/>
        <w:rPr>
          <w:rFonts w:ascii="Noto Sans" w:hAnsi="Noto Sans" w:cs="Noto Sans"/>
          <w:iCs/>
          <w:sz w:val="18"/>
          <w:szCs w:val="18"/>
        </w:rPr>
      </w:pPr>
      <w:r w:rsidRPr="00E0791C">
        <w:rPr>
          <w:rFonts w:ascii="Noto Sans" w:hAnsi="Noto Sans" w:cs="Noto Sans"/>
          <w:iCs/>
          <w:sz w:val="18"/>
          <w:szCs w:val="18"/>
        </w:rPr>
        <w:t>Únicamente se podrá solicitar la provisión del pasivo por concepto de laudos o sentencias y/o convenios, en los casos siguientes:</w:t>
      </w:r>
    </w:p>
    <w:p w14:paraId="5B601BCD" w14:textId="77777777" w:rsidR="0002360D" w:rsidRPr="00E0791C"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Cuando se derive de una obligación establecida en resolución ejecutoria.</w:t>
      </w:r>
    </w:p>
    <w:p w14:paraId="11178176" w14:textId="77777777" w:rsidR="0002360D" w:rsidRPr="00E0791C"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Exista laudo o sentencia firme dictado por autoridad jurisdiccional competente, es decir, aquellos en los cuales conste certificación de no interposición o de negativa de amparo.</w:t>
      </w:r>
    </w:p>
    <w:p w14:paraId="4DCE3441" w14:textId="77777777" w:rsidR="0002360D" w:rsidRPr="00E0791C"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Que exista requerimiento de pago por parte de la autoridad laboral y el actor, toda vez que hasta ese momento se conoce el monto real a provisionar.</w:t>
      </w:r>
    </w:p>
    <w:p w14:paraId="7AB777C7" w14:textId="77777777" w:rsidR="0002360D" w:rsidRDefault="0002360D" w:rsidP="00D06BE8">
      <w:pPr>
        <w:pStyle w:val="Prrafodelista"/>
        <w:numPr>
          <w:ilvl w:val="0"/>
          <w:numId w:val="77"/>
        </w:numPr>
        <w:spacing w:after="120" w:line="250" w:lineRule="exact"/>
        <w:ind w:left="1305" w:hanging="284"/>
        <w:jc w:val="both"/>
        <w:rPr>
          <w:rFonts w:ascii="Noto Sans" w:hAnsi="Noto Sans" w:cs="Noto Sans"/>
          <w:iCs/>
          <w:sz w:val="18"/>
          <w:szCs w:val="18"/>
        </w:rPr>
      </w:pPr>
      <w:r w:rsidRPr="00E0791C">
        <w:rPr>
          <w:rFonts w:ascii="Noto Sans" w:hAnsi="Noto Sans" w:cs="Noto Sans"/>
          <w:iCs/>
          <w:sz w:val="18"/>
          <w:szCs w:val="18"/>
        </w:rPr>
        <w:t>Se haya celebrado convenio y esté debidamente firmado por ambas partes (cumpliendo con lo establecido en el oficio No. 095279614A30/832 del 04 de agosto de 2021, emitido por la Coordinación Laboral).</w:t>
      </w:r>
    </w:p>
    <w:p w14:paraId="6A1ADA62" w14:textId="77777777" w:rsidR="0002360D" w:rsidRPr="00543195" w:rsidRDefault="0002360D" w:rsidP="00D06BE8">
      <w:pPr>
        <w:pStyle w:val="TEXTONORMAL"/>
        <w:numPr>
          <w:ilvl w:val="0"/>
          <w:numId w:val="78"/>
        </w:numPr>
        <w:ind w:left="714" w:hanging="357"/>
      </w:pPr>
      <w:r w:rsidRPr="00543195">
        <w:t>Beneficios a los empleados</w:t>
      </w:r>
    </w:p>
    <w:p w14:paraId="2338CAE1" w14:textId="77777777" w:rsidR="0002360D" w:rsidRDefault="0002360D" w:rsidP="0002360D">
      <w:pPr>
        <w:pStyle w:val="TEXTONORMAL"/>
      </w:pPr>
      <w:r>
        <w:t>El Instituto otorga a sus empleados el plan de pensiones denominado Régimen de Jubilaciones y Pensiones (RJP), el cual se encuentra inserto en su CCT. El RJP cubre al personal contratado hasta el 15 de octubre de 2005, y las jubilaciones y pensiones se determinan considerando el último salario al momento de pensión, los años de servicio como empleado del Instituto y el cumplimento del requisito de edad cuando así corresponda. Así mismo, el Instituto otorga beneficios por prima de antigüedad e indemnizaciones conforme a lo que establece el CCT y, en el caso del personal de Confianza “A” contratado a partir del 1 de enero de 2012, de acuerdo con el Estatuto de Trabajadores de Confianza “A” del Instituto Mexicano del Seguro Social y la Ley Federal del Trabajo.</w:t>
      </w:r>
    </w:p>
    <w:p w14:paraId="54CBD515" w14:textId="4494B1A3" w:rsidR="0002360D" w:rsidRDefault="0002360D" w:rsidP="0002360D">
      <w:pPr>
        <w:pStyle w:val="TEXTONORMAL"/>
      </w:pPr>
      <w:r>
        <w:t xml:space="preserve">Los costos por el plan de pensiones y de la prima de antigüedad e indemnizaciones se determinan anualmente con base en cálculos efectuados por actuarios independientes, mediante el método de crédito unitario proyectado y utilizando hipótesis financieras determinadas de acuerdo con lo que establece la NIF D-3. La última valuación se efectúo con cifras al </w:t>
      </w:r>
      <w:r w:rsidRPr="002B5901">
        <w:t>cierre de diciembre de 202</w:t>
      </w:r>
      <w:r w:rsidR="00AA0F52">
        <w:t>4</w:t>
      </w:r>
      <w:r w:rsidR="00AA0F52">
        <w:tab/>
      </w:r>
      <w:r w:rsidRPr="002B5901">
        <w:t>. El</w:t>
      </w:r>
      <w:r>
        <w:t xml:space="preserve"> registro se realiza con apego al lineamiento contable E “Obligaciones Laborales” del MCGSPF.</w:t>
      </w:r>
    </w:p>
    <w:p w14:paraId="4A44B694" w14:textId="698BF7B0" w:rsidR="0002360D" w:rsidRPr="00E0791C" w:rsidRDefault="001F0B62" w:rsidP="00D06BE8">
      <w:pPr>
        <w:pStyle w:val="TEXTONORMAL"/>
        <w:numPr>
          <w:ilvl w:val="0"/>
          <w:numId w:val="79"/>
        </w:numPr>
        <w:ind w:left="357" w:hanging="357"/>
      </w:pPr>
      <w:r>
        <w:t xml:space="preserve">6. </w:t>
      </w:r>
      <w:r w:rsidR="0002360D" w:rsidRPr="00E0791C">
        <w:t>Posición en moneda extranjera y Protección por Riesgo Cambiario</w:t>
      </w:r>
    </w:p>
    <w:p w14:paraId="491D1AF7" w14:textId="77777777" w:rsidR="0002360D" w:rsidRDefault="0002360D" w:rsidP="0002360D">
      <w:pPr>
        <w:pStyle w:val="TEXTONORMAL"/>
      </w:pPr>
      <w:r>
        <w:t>Las transacciones en moneda extranjera se registran al tipo de cambio aplicable a la fecha de su celebración. Los activos y pasivos en moneda extranjera se valúan al tipo de cambio de la fecha del estado de situación financiera.</w:t>
      </w:r>
    </w:p>
    <w:p w14:paraId="7CA04F57" w14:textId="7730AD90" w:rsidR="0002360D" w:rsidRDefault="0002360D" w:rsidP="0002360D">
      <w:pPr>
        <w:pStyle w:val="TEXTONORMAL"/>
      </w:pPr>
      <w:r>
        <w:t xml:space="preserve">Las diferencias cambiarias entre la fecha de celebración y las de su cobro o pago; así como, las derivadas de la conversión de los saldos denominados en moneda extranjera a la fecha de los Estados </w:t>
      </w:r>
      <w:proofErr w:type="gramStart"/>
      <w:r w:rsidR="004674CE">
        <w:t>Financieros,</w:t>
      </w:r>
      <w:proofErr w:type="gramEnd"/>
      <w:r w:rsidR="004674CE">
        <w:t xml:space="preserve"> </w:t>
      </w:r>
      <w:r>
        <w:t>se aplican al estado de actividades.</w:t>
      </w:r>
    </w:p>
    <w:p w14:paraId="1B4E0CBE" w14:textId="77777777" w:rsidR="007042F8" w:rsidRDefault="007042F8" w:rsidP="0002360D">
      <w:pPr>
        <w:pStyle w:val="TEXTONORMAL"/>
      </w:pPr>
    </w:p>
    <w:p w14:paraId="1A36175D" w14:textId="77777777" w:rsidR="007042F8" w:rsidRDefault="007042F8" w:rsidP="0002360D">
      <w:pPr>
        <w:pStyle w:val="TEXTONORMAL"/>
      </w:pPr>
    </w:p>
    <w:p w14:paraId="148BA076" w14:textId="77777777" w:rsidR="007042F8" w:rsidRDefault="007042F8" w:rsidP="0002360D">
      <w:pPr>
        <w:pStyle w:val="TEXTONORMAL"/>
      </w:pPr>
    </w:p>
    <w:p w14:paraId="23961BCA" w14:textId="77777777" w:rsidR="00E94F55" w:rsidRDefault="00E94F55" w:rsidP="0002360D">
      <w:pPr>
        <w:pStyle w:val="TEXTONORMAL"/>
      </w:pPr>
    </w:p>
    <w:p w14:paraId="12754D58" w14:textId="77777777" w:rsidR="007042F8" w:rsidRDefault="007042F8" w:rsidP="0002360D">
      <w:pPr>
        <w:pStyle w:val="TEXTONORMAL"/>
      </w:pPr>
    </w:p>
    <w:p w14:paraId="2D10C61A" w14:textId="77777777" w:rsidR="0002360D" w:rsidRPr="00C746D1" w:rsidRDefault="0002360D" w:rsidP="00D06BE8">
      <w:pPr>
        <w:pStyle w:val="TEXTONORMAL"/>
        <w:numPr>
          <w:ilvl w:val="0"/>
          <w:numId w:val="80"/>
        </w:numPr>
        <w:ind w:left="714" w:hanging="357"/>
        <w:rPr>
          <w:rFonts w:cs="Noto Sans"/>
          <w:szCs w:val="18"/>
        </w:rPr>
      </w:pPr>
      <w:r w:rsidRPr="00C746D1">
        <w:rPr>
          <w:rFonts w:cs="Noto Sans"/>
          <w:szCs w:val="18"/>
        </w:rPr>
        <w:lastRenderedPageBreak/>
        <w:t xml:space="preserve">Activos en moneda extranjera </w:t>
      </w:r>
    </w:p>
    <w:p w14:paraId="778C92E8" w14:textId="002128E4" w:rsidR="0002360D" w:rsidRDefault="0002360D" w:rsidP="0002360D">
      <w:pPr>
        <w:pStyle w:val="TEXTONORMAL"/>
      </w:pPr>
      <w:r w:rsidRPr="00E0791C">
        <w:rPr>
          <w:rFonts w:cs="Noto Sans"/>
          <w:szCs w:val="18"/>
        </w:rPr>
        <w:t>Al</w:t>
      </w:r>
      <w:r w:rsidR="002B3F78">
        <w:rPr>
          <w:rFonts w:cs="Noto Sans"/>
          <w:szCs w:val="18"/>
        </w:rPr>
        <w:t xml:space="preserve"> </w:t>
      </w:r>
      <w:r w:rsidR="002B3F78" w:rsidRPr="002B3F78">
        <w:rPr>
          <w:rFonts w:cs="Noto Sans"/>
          <w:szCs w:val="18"/>
        </w:rPr>
        <w:t>3</w:t>
      </w:r>
      <w:r w:rsidR="00D763C9">
        <w:rPr>
          <w:rFonts w:cs="Noto Sans"/>
          <w:szCs w:val="18"/>
        </w:rPr>
        <w:t>0</w:t>
      </w:r>
      <w:r w:rsidR="002B3F78" w:rsidRPr="002B3F78">
        <w:rPr>
          <w:rFonts w:cs="Noto Sans"/>
          <w:szCs w:val="18"/>
        </w:rPr>
        <w:t xml:space="preserve"> de </w:t>
      </w:r>
      <w:r w:rsidR="00D763C9">
        <w:rPr>
          <w:rFonts w:cs="Noto Sans"/>
          <w:szCs w:val="18"/>
        </w:rPr>
        <w:t>junio</w:t>
      </w:r>
      <w:r w:rsidR="002B3F78" w:rsidRPr="002B3F78">
        <w:rPr>
          <w:rFonts w:cs="Noto Sans"/>
          <w:szCs w:val="18"/>
        </w:rPr>
        <w:t xml:space="preserve"> de 2025</w:t>
      </w:r>
      <w:r w:rsidR="002B3F78">
        <w:rPr>
          <w:rFonts w:cs="Noto Sans"/>
          <w:szCs w:val="18"/>
        </w:rPr>
        <w:t xml:space="preserve"> </w:t>
      </w:r>
      <w:r w:rsidR="00464AFB">
        <w:rPr>
          <w:rFonts w:cs="Noto Sans"/>
          <w:szCs w:val="18"/>
        </w:rPr>
        <w:t>y</w:t>
      </w:r>
      <w:r w:rsidRPr="00E0791C">
        <w:rPr>
          <w:rFonts w:cs="Noto Sans"/>
          <w:szCs w:val="18"/>
        </w:rPr>
        <w:t xml:space="preserve"> 31 de diciembre de 2024, los activos en moneda extranjera ascienden</w:t>
      </w:r>
      <w:r>
        <w:t xml:space="preserve"> a:</w:t>
      </w:r>
    </w:p>
    <w:tbl>
      <w:tblPr>
        <w:tblW w:w="0" w:type="auto"/>
        <w:jc w:val="center"/>
        <w:tblCellMar>
          <w:left w:w="70" w:type="dxa"/>
          <w:right w:w="70" w:type="dxa"/>
        </w:tblCellMar>
        <w:tblLook w:val="0480" w:firstRow="0" w:lastRow="0" w:firstColumn="1" w:lastColumn="0" w:noHBand="0" w:noVBand="1"/>
      </w:tblPr>
      <w:tblGrid>
        <w:gridCol w:w="5518"/>
        <w:gridCol w:w="1975"/>
        <w:gridCol w:w="1977"/>
      </w:tblGrid>
      <w:tr w:rsidR="0002360D" w:rsidRPr="005946C5" w14:paraId="38EAD831" w14:textId="77777777" w:rsidTr="00DE3B9A">
        <w:trPr>
          <w:trHeight w:val="138"/>
          <w:jc w:val="center"/>
        </w:trPr>
        <w:tc>
          <w:tcPr>
            <w:tcW w:w="5518"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4DCE6D4"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52" w:type="dxa"/>
            <w:gridSpan w:val="2"/>
            <w:tcBorders>
              <w:top w:val="double" w:sz="12" w:space="0" w:color="A6802D"/>
              <w:left w:val="nil"/>
              <w:bottom w:val="single" w:sz="12" w:space="0" w:color="FFFFFF"/>
            </w:tcBorders>
            <w:shd w:val="clear" w:color="auto" w:fill="A6802D"/>
            <w:vAlign w:val="center"/>
            <w:hideMark/>
          </w:tcPr>
          <w:p w14:paraId="49901E65"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 xml:space="preserve">Cifras en </w:t>
            </w:r>
            <w:r>
              <w:rPr>
                <w:rFonts w:ascii="Noto Sans" w:eastAsia="Times New Roman" w:hAnsi="Noto Sans" w:cs="Noto Sans"/>
                <w:b/>
                <w:bCs/>
                <w:color w:val="FFFFFF"/>
                <w:sz w:val="16"/>
                <w:szCs w:val="16"/>
                <w:lang w:eastAsia="es-MX"/>
              </w:rPr>
              <w:t>dólares americanos</w:t>
            </w:r>
          </w:p>
        </w:tc>
      </w:tr>
      <w:tr w:rsidR="0002360D" w:rsidRPr="005946C5" w14:paraId="5B87DECE" w14:textId="77777777" w:rsidTr="00DE3B9A">
        <w:trPr>
          <w:trHeight w:val="138"/>
          <w:jc w:val="center"/>
        </w:trPr>
        <w:tc>
          <w:tcPr>
            <w:tcW w:w="5518" w:type="dxa"/>
            <w:vMerge/>
            <w:tcBorders>
              <w:top w:val="single" w:sz="12" w:space="0" w:color="808080"/>
              <w:left w:val="nil"/>
              <w:bottom w:val="triple" w:sz="12" w:space="0" w:color="A6802D"/>
              <w:right w:val="single" w:sz="12" w:space="0" w:color="FFFFFF"/>
            </w:tcBorders>
            <w:shd w:val="clear" w:color="auto" w:fill="A6802D"/>
            <w:vAlign w:val="center"/>
            <w:hideMark/>
          </w:tcPr>
          <w:p w14:paraId="24749EED" w14:textId="77777777" w:rsidR="0002360D" w:rsidRPr="008E629A" w:rsidRDefault="0002360D" w:rsidP="00ED10B2">
            <w:pPr>
              <w:spacing w:after="0" w:line="240" w:lineRule="exact"/>
              <w:jc w:val="center"/>
              <w:rPr>
                <w:rFonts w:ascii="Noto Sans" w:eastAsia="Times New Roman" w:hAnsi="Noto Sans" w:cs="Noto Sans"/>
                <w:b/>
                <w:bCs/>
                <w:color w:val="FFFFFF"/>
                <w:sz w:val="16"/>
                <w:szCs w:val="16"/>
                <w:lang w:eastAsia="es-MX"/>
              </w:rPr>
            </w:pPr>
          </w:p>
        </w:tc>
        <w:tc>
          <w:tcPr>
            <w:tcW w:w="1975" w:type="dxa"/>
            <w:tcBorders>
              <w:top w:val="nil"/>
              <w:left w:val="nil"/>
              <w:bottom w:val="triple" w:sz="12" w:space="0" w:color="A6802D"/>
              <w:right w:val="single" w:sz="12" w:space="0" w:color="FFFFFF"/>
            </w:tcBorders>
            <w:shd w:val="clear" w:color="auto" w:fill="A6802D"/>
            <w:vAlign w:val="center"/>
          </w:tcPr>
          <w:p w14:paraId="2901BCBF" w14:textId="11EBE939" w:rsidR="0002360D" w:rsidRPr="008E629A" w:rsidRDefault="002B3F78"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77" w:type="dxa"/>
            <w:tcBorders>
              <w:top w:val="nil"/>
              <w:left w:val="nil"/>
              <w:bottom w:val="triple" w:sz="12" w:space="0" w:color="A6802D"/>
            </w:tcBorders>
            <w:shd w:val="clear" w:color="auto" w:fill="A6802D"/>
            <w:vAlign w:val="center"/>
          </w:tcPr>
          <w:p w14:paraId="42B2AC46" w14:textId="2FB7246C" w:rsidR="0002360D" w:rsidRPr="008E629A" w:rsidRDefault="002B3F78"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02360D" w:rsidRPr="005946C5" w14:paraId="001A1BDC" w14:textId="77777777" w:rsidTr="00DE3B9A">
        <w:trPr>
          <w:trHeight w:val="231"/>
          <w:jc w:val="center"/>
        </w:trPr>
        <w:tc>
          <w:tcPr>
            <w:tcW w:w="5518" w:type="dxa"/>
            <w:tcBorders>
              <w:left w:val="nil"/>
              <w:bottom w:val="single" w:sz="12" w:space="0" w:color="A6802D"/>
              <w:right w:val="nil"/>
            </w:tcBorders>
            <w:shd w:val="clear" w:color="000000" w:fill="F2F2F2"/>
            <w:vAlign w:val="center"/>
          </w:tcPr>
          <w:p w14:paraId="067B7BD3" w14:textId="77777777" w:rsidR="0002360D" w:rsidRPr="007F31B0" w:rsidRDefault="0002360D" w:rsidP="00ED10B2">
            <w:pPr>
              <w:spacing w:after="0" w:line="240" w:lineRule="auto"/>
              <w:rPr>
                <w:rFonts w:ascii="Noto Sans" w:eastAsia="Times New Roman" w:hAnsi="Noto Sans" w:cs="Noto Sans"/>
                <w:b/>
                <w:bCs/>
                <w:color w:val="000000"/>
                <w:sz w:val="15"/>
                <w:szCs w:val="15"/>
                <w:lang w:eastAsia="es-MX"/>
              </w:rPr>
            </w:pPr>
            <w:r w:rsidRPr="007F31B0">
              <w:rPr>
                <w:rFonts w:ascii="Noto Sans" w:eastAsia="Times New Roman" w:hAnsi="Noto Sans" w:cs="Noto Sans"/>
                <w:color w:val="000000"/>
                <w:sz w:val="15"/>
                <w:szCs w:val="15"/>
                <w:lang w:eastAsia="es-MX"/>
              </w:rPr>
              <w:t>Activos en moneda extranjera</w:t>
            </w:r>
          </w:p>
        </w:tc>
        <w:tc>
          <w:tcPr>
            <w:tcW w:w="1975" w:type="dxa"/>
            <w:tcBorders>
              <w:left w:val="nil"/>
              <w:bottom w:val="single" w:sz="12" w:space="0" w:color="A6802D"/>
              <w:right w:val="nil"/>
            </w:tcBorders>
            <w:shd w:val="clear" w:color="000000" w:fill="F2F2F2"/>
            <w:vAlign w:val="center"/>
          </w:tcPr>
          <w:p w14:paraId="4A4A1236" w14:textId="303325D8" w:rsidR="0002360D" w:rsidRPr="007F31B0" w:rsidRDefault="002B3F78" w:rsidP="00C24636">
            <w:pPr>
              <w:spacing w:after="0" w:line="240" w:lineRule="auto"/>
              <w:jc w:val="right"/>
              <w:rPr>
                <w:rFonts w:ascii="Noto Sans" w:eastAsia="Times New Roman" w:hAnsi="Noto Sans" w:cs="Noto Sans"/>
                <w:color w:val="000000"/>
                <w:sz w:val="15"/>
                <w:szCs w:val="15"/>
                <w:lang w:eastAsia="es-MX"/>
              </w:rPr>
            </w:pPr>
            <w:r w:rsidRPr="002B3F78">
              <w:rPr>
                <w:rFonts w:ascii="Noto Sans" w:eastAsia="Times New Roman" w:hAnsi="Noto Sans" w:cs="Noto Sans"/>
                <w:color w:val="000000"/>
                <w:sz w:val="15"/>
                <w:szCs w:val="15"/>
                <w:lang w:eastAsia="es-MX"/>
              </w:rPr>
              <w:t>12,</w:t>
            </w:r>
            <w:r w:rsidR="006E2CED">
              <w:rPr>
                <w:rFonts w:ascii="Noto Sans" w:eastAsia="Times New Roman" w:hAnsi="Noto Sans" w:cs="Noto Sans"/>
                <w:color w:val="000000"/>
                <w:sz w:val="15"/>
                <w:szCs w:val="15"/>
                <w:lang w:eastAsia="es-MX"/>
              </w:rPr>
              <w:t>264</w:t>
            </w:r>
            <w:r w:rsidRPr="002B3F78">
              <w:rPr>
                <w:rFonts w:ascii="Noto Sans" w:eastAsia="Times New Roman" w:hAnsi="Noto Sans" w:cs="Noto Sans"/>
                <w:color w:val="000000"/>
                <w:sz w:val="15"/>
                <w:szCs w:val="15"/>
                <w:lang w:eastAsia="es-MX"/>
              </w:rPr>
              <w:t>,</w:t>
            </w:r>
            <w:r w:rsidR="006E2CED">
              <w:rPr>
                <w:rFonts w:ascii="Noto Sans" w:eastAsia="Times New Roman" w:hAnsi="Noto Sans" w:cs="Noto Sans"/>
                <w:color w:val="000000"/>
                <w:sz w:val="15"/>
                <w:szCs w:val="15"/>
                <w:lang w:eastAsia="es-MX"/>
              </w:rPr>
              <w:t>436</w:t>
            </w:r>
            <w:r w:rsidRPr="002B3F78">
              <w:rPr>
                <w:rFonts w:ascii="Noto Sans" w:eastAsia="Times New Roman" w:hAnsi="Noto Sans" w:cs="Noto Sans"/>
                <w:color w:val="000000"/>
                <w:sz w:val="15"/>
                <w:szCs w:val="15"/>
                <w:lang w:eastAsia="es-MX"/>
              </w:rPr>
              <w:t>.</w:t>
            </w:r>
            <w:r w:rsidR="006E2CED">
              <w:rPr>
                <w:rFonts w:ascii="Noto Sans" w:eastAsia="Times New Roman" w:hAnsi="Noto Sans" w:cs="Noto Sans"/>
                <w:color w:val="000000"/>
                <w:sz w:val="15"/>
                <w:szCs w:val="15"/>
                <w:lang w:eastAsia="es-MX"/>
              </w:rPr>
              <w:t>5</w:t>
            </w:r>
            <w:r w:rsidRPr="002B3F78">
              <w:rPr>
                <w:rFonts w:ascii="Noto Sans" w:eastAsia="Times New Roman" w:hAnsi="Noto Sans" w:cs="Noto Sans"/>
                <w:color w:val="000000"/>
                <w:sz w:val="15"/>
                <w:szCs w:val="15"/>
                <w:lang w:eastAsia="es-MX"/>
              </w:rPr>
              <w:t xml:space="preserve"> USD</w:t>
            </w:r>
          </w:p>
        </w:tc>
        <w:tc>
          <w:tcPr>
            <w:tcW w:w="1977" w:type="dxa"/>
            <w:tcBorders>
              <w:left w:val="nil"/>
              <w:bottom w:val="single" w:sz="12" w:space="0" w:color="A6802D"/>
              <w:right w:val="nil"/>
            </w:tcBorders>
            <w:shd w:val="clear" w:color="000000" w:fill="F2F2F2"/>
            <w:vAlign w:val="center"/>
          </w:tcPr>
          <w:p w14:paraId="16A9832D" w14:textId="408258C5" w:rsidR="0002360D" w:rsidRPr="007F31B0" w:rsidRDefault="002B3F78" w:rsidP="00ED10B2">
            <w:pPr>
              <w:spacing w:after="0" w:line="240" w:lineRule="auto"/>
              <w:jc w:val="right"/>
              <w:rPr>
                <w:rFonts w:ascii="Noto Sans" w:eastAsia="Times New Roman" w:hAnsi="Noto Sans" w:cs="Noto Sans"/>
                <w:b/>
                <w:bCs/>
                <w:color w:val="000000"/>
                <w:sz w:val="15"/>
                <w:szCs w:val="15"/>
                <w:lang w:eastAsia="es-MX"/>
              </w:rPr>
            </w:pPr>
            <w:r w:rsidRPr="007F31B0">
              <w:rPr>
                <w:rFonts w:ascii="Noto Sans" w:eastAsia="Times New Roman" w:hAnsi="Noto Sans" w:cs="Noto Sans"/>
                <w:color w:val="000000"/>
                <w:sz w:val="15"/>
                <w:szCs w:val="15"/>
                <w:lang w:eastAsia="es-MX"/>
              </w:rPr>
              <w:t>12,116,943.1 USD</w:t>
            </w:r>
          </w:p>
        </w:tc>
      </w:tr>
      <w:tr w:rsidR="0002360D" w:rsidRPr="00274555" w14:paraId="10BF74EA" w14:textId="77777777" w:rsidTr="00DE3B9A">
        <w:trPr>
          <w:trHeight w:val="184"/>
          <w:jc w:val="center"/>
        </w:trPr>
        <w:tc>
          <w:tcPr>
            <w:tcW w:w="5518" w:type="dxa"/>
            <w:tcBorders>
              <w:top w:val="single" w:sz="12" w:space="0" w:color="A6802D"/>
              <w:left w:val="nil"/>
              <w:right w:val="nil"/>
            </w:tcBorders>
            <w:vAlign w:val="center"/>
          </w:tcPr>
          <w:p w14:paraId="226C9AA5" w14:textId="77777777" w:rsidR="0002360D" w:rsidRDefault="0002360D"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p w14:paraId="232A82E7" w14:textId="77777777" w:rsidR="00511100" w:rsidRDefault="00511100" w:rsidP="00ED10B2">
            <w:pPr>
              <w:spacing w:after="0" w:line="240" w:lineRule="auto"/>
              <w:jc w:val="both"/>
              <w:rPr>
                <w:rFonts w:ascii="Noto Sans" w:eastAsia="Times New Roman" w:hAnsi="Noto Sans" w:cs="Noto Sans"/>
                <w:bCs/>
                <w:color w:val="000000"/>
                <w:sz w:val="14"/>
                <w:szCs w:val="14"/>
                <w:lang w:eastAsia="es-MX"/>
              </w:rPr>
            </w:pPr>
          </w:p>
          <w:p w14:paraId="04AB777B" w14:textId="77777777" w:rsidR="00511100" w:rsidRPr="00274555" w:rsidRDefault="00511100" w:rsidP="00ED10B2">
            <w:pPr>
              <w:spacing w:after="0" w:line="240" w:lineRule="auto"/>
              <w:jc w:val="both"/>
              <w:rPr>
                <w:rFonts w:ascii="Noto Sans" w:eastAsia="Times New Roman" w:hAnsi="Noto Sans" w:cs="Noto Sans"/>
                <w:bCs/>
                <w:color w:val="000000"/>
                <w:sz w:val="14"/>
                <w:szCs w:val="14"/>
                <w:lang w:eastAsia="es-MX"/>
              </w:rPr>
            </w:pPr>
          </w:p>
        </w:tc>
        <w:tc>
          <w:tcPr>
            <w:tcW w:w="1975" w:type="dxa"/>
            <w:tcBorders>
              <w:top w:val="single" w:sz="12" w:space="0" w:color="A6802D"/>
              <w:left w:val="nil"/>
              <w:right w:val="nil"/>
            </w:tcBorders>
            <w:vAlign w:val="center"/>
          </w:tcPr>
          <w:p w14:paraId="411351C6"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p>
        </w:tc>
        <w:tc>
          <w:tcPr>
            <w:tcW w:w="1977" w:type="dxa"/>
            <w:tcBorders>
              <w:top w:val="single" w:sz="12" w:space="0" w:color="A6802D"/>
              <w:left w:val="nil"/>
              <w:right w:val="nil"/>
            </w:tcBorders>
            <w:vAlign w:val="center"/>
          </w:tcPr>
          <w:p w14:paraId="1D34E199"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p>
        </w:tc>
      </w:tr>
    </w:tbl>
    <w:p w14:paraId="247C5F48" w14:textId="1A63C929" w:rsidR="00511100" w:rsidRDefault="00511100" w:rsidP="00D06BE8">
      <w:pPr>
        <w:pStyle w:val="TEXTONORMAL"/>
        <w:numPr>
          <w:ilvl w:val="0"/>
          <w:numId w:val="80"/>
        </w:numPr>
        <w:ind w:left="714" w:hanging="357"/>
        <w:rPr>
          <w:rFonts w:cs="Noto Sans"/>
          <w:szCs w:val="18"/>
        </w:rPr>
      </w:pPr>
      <w:r>
        <w:rPr>
          <w:rFonts w:cs="Noto Sans"/>
          <w:szCs w:val="18"/>
        </w:rPr>
        <w:t>Pasivos</w:t>
      </w:r>
      <w:r w:rsidRPr="00E0791C">
        <w:rPr>
          <w:rFonts w:cs="Noto Sans"/>
          <w:szCs w:val="18"/>
        </w:rPr>
        <w:t xml:space="preserve"> en moneda extranjera </w:t>
      </w:r>
    </w:p>
    <w:p w14:paraId="300ED464" w14:textId="54B342A2" w:rsidR="00511100" w:rsidRDefault="00336C5E" w:rsidP="00511100">
      <w:pPr>
        <w:pStyle w:val="TEXTONORMAL"/>
      </w:pPr>
      <w:r w:rsidRPr="00E0791C">
        <w:rPr>
          <w:rFonts w:cs="Noto Sans"/>
          <w:szCs w:val="18"/>
        </w:rPr>
        <w:t>Al</w:t>
      </w:r>
      <w:r>
        <w:rPr>
          <w:rFonts w:cs="Noto Sans"/>
          <w:szCs w:val="18"/>
        </w:rPr>
        <w:t xml:space="preserve"> </w:t>
      </w:r>
      <w:r w:rsidR="005F136D" w:rsidRPr="002B3F78">
        <w:rPr>
          <w:rFonts w:cs="Noto Sans"/>
          <w:szCs w:val="18"/>
        </w:rPr>
        <w:t>3</w:t>
      </w:r>
      <w:r w:rsidR="005F136D">
        <w:rPr>
          <w:rFonts w:cs="Noto Sans"/>
          <w:szCs w:val="18"/>
        </w:rPr>
        <w:t>0</w:t>
      </w:r>
      <w:r w:rsidR="005F136D" w:rsidRPr="002B3F78">
        <w:rPr>
          <w:rFonts w:cs="Noto Sans"/>
          <w:szCs w:val="18"/>
        </w:rPr>
        <w:t xml:space="preserve"> de </w:t>
      </w:r>
      <w:r w:rsidR="005F136D">
        <w:rPr>
          <w:rFonts w:cs="Noto Sans"/>
          <w:szCs w:val="18"/>
        </w:rPr>
        <w:t>junio</w:t>
      </w:r>
      <w:r w:rsidR="005F136D" w:rsidRPr="002B3F78">
        <w:rPr>
          <w:rFonts w:cs="Noto Sans"/>
          <w:szCs w:val="18"/>
        </w:rPr>
        <w:t xml:space="preserve"> </w:t>
      </w:r>
      <w:r w:rsidRPr="002B3F78">
        <w:rPr>
          <w:rFonts w:cs="Noto Sans"/>
          <w:szCs w:val="18"/>
        </w:rPr>
        <w:t>de 2025</w:t>
      </w:r>
      <w:r>
        <w:rPr>
          <w:rFonts w:cs="Noto Sans"/>
          <w:szCs w:val="18"/>
        </w:rPr>
        <w:t xml:space="preserve"> y</w:t>
      </w:r>
      <w:r w:rsidRPr="00E0791C">
        <w:rPr>
          <w:rFonts w:cs="Noto Sans"/>
          <w:szCs w:val="18"/>
        </w:rPr>
        <w:t xml:space="preserve"> 31 de diciembre de 2024</w:t>
      </w:r>
      <w:r>
        <w:rPr>
          <w:rFonts w:cs="Noto Sans"/>
          <w:szCs w:val="18"/>
        </w:rPr>
        <w:t xml:space="preserve">, </w:t>
      </w:r>
      <w:r w:rsidR="00F562FD">
        <w:rPr>
          <w:rFonts w:cs="Noto Sans"/>
          <w:szCs w:val="18"/>
        </w:rPr>
        <w:t xml:space="preserve">los pasivos en moneda extrajeran </w:t>
      </w:r>
      <w:r w:rsidR="00F562FD" w:rsidRPr="00F562FD">
        <w:t>ascienden a:</w:t>
      </w:r>
    </w:p>
    <w:tbl>
      <w:tblPr>
        <w:tblW w:w="9369" w:type="dxa"/>
        <w:tblInd w:w="1957" w:type="dxa"/>
        <w:tblCellMar>
          <w:left w:w="70" w:type="dxa"/>
          <w:right w:w="70" w:type="dxa"/>
        </w:tblCellMar>
        <w:tblLook w:val="04A0" w:firstRow="1" w:lastRow="0" w:firstColumn="1" w:lastColumn="0" w:noHBand="0" w:noVBand="1"/>
      </w:tblPr>
      <w:tblGrid>
        <w:gridCol w:w="5291"/>
        <w:gridCol w:w="1961"/>
        <w:gridCol w:w="2117"/>
      </w:tblGrid>
      <w:tr w:rsidR="00DE3B9A" w:rsidRPr="00DE3B9A" w14:paraId="12FE7161" w14:textId="77777777" w:rsidTr="00DE3B9A">
        <w:trPr>
          <w:trHeight w:val="282"/>
        </w:trPr>
        <w:tc>
          <w:tcPr>
            <w:tcW w:w="5291" w:type="dxa"/>
            <w:vMerge w:val="restart"/>
            <w:tcBorders>
              <w:top w:val="double" w:sz="6" w:space="0" w:color="A6802D"/>
              <w:left w:val="nil"/>
              <w:bottom w:val="double" w:sz="6" w:space="0" w:color="A6802D"/>
              <w:right w:val="single" w:sz="12" w:space="0" w:color="FFFFFF"/>
            </w:tcBorders>
            <w:shd w:val="clear" w:color="000000" w:fill="A6802D"/>
            <w:vAlign w:val="center"/>
            <w:hideMark/>
          </w:tcPr>
          <w:p w14:paraId="5C39A03E"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Concepto</w:t>
            </w:r>
          </w:p>
        </w:tc>
        <w:tc>
          <w:tcPr>
            <w:tcW w:w="4078" w:type="dxa"/>
            <w:gridSpan w:val="2"/>
            <w:tcBorders>
              <w:top w:val="double" w:sz="6" w:space="0" w:color="A6802D"/>
              <w:left w:val="nil"/>
              <w:bottom w:val="single" w:sz="12" w:space="0" w:color="FFFFFF"/>
              <w:right w:val="nil"/>
            </w:tcBorders>
            <w:shd w:val="clear" w:color="000000" w:fill="A6802D"/>
            <w:vAlign w:val="center"/>
            <w:hideMark/>
          </w:tcPr>
          <w:p w14:paraId="29C55945"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Cifras en dólares americanos</w:t>
            </w:r>
          </w:p>
        </w:tc>
      </w:tr>
      <w:tr w:rsidR="00DE3B9A" w:rsidRPr="00DE3B9A" w14:paraId="62D975FF" w14:textId="77777777" w:rsidTr="00DE3B9A">
        <w:trPr>
          <w:trHeight w:val="282"/>
        </w:trPr>
        <w:tc>
          <w:tcPr>
            <w:tcW w:w="5291" w:type="dxa"/>
            <w:vMerge/>
            <w:tcBorders>
              <w:top w:val="double" w:sz="6" w:space="0" w:color="A6802D"/>
              <w:left w:val="nil"/>
              <w:bottom w:val="double" w:sz="6" w:space="0" w:color="A6802D"/>
              <w:right w:val="single" w:sz="12" w:space="0" w:color="FFFFFF"/>
            </w:tcBorders>
            <w:vAlign w:val="center"/>
            <w:hideMark/>
          </w:tcPr>
          <w:p w14:paraId="46504A63" w14:textId="77777777" w:rsidR="00DE3B9A" w:rsidRPr="00DE3B9A" w:rsidRDefault="00DE3B9A" w:rsidP="00DE3B9A">
            <w:pPr>
              <w:spacing w:after="0" w:line="240" w:lineRule="auto"/>
              <w:rPr>
                <w:rFonts w:ascii="Noto Sans" w:eastAsia="Times New Roman" w:hAnsi="Noto Sans" w:cs="Noto Sans"/>
                <w:b/>
                <w:bCs/>
                <w:color w:val="FFFFFF"/>
                <w:sz w:val="16"/>
                <w:szCs w:val="16"/>
                <w:lang w:eastAsia="es-MX"/>
              </w:rPr>
            </w:pPr>
          </w:p>
        </w:tc>
        <w:tc>
          <w:tcPr>
            <w:tcW w:w="1961" w:type="dxa"/>
            <w:tcBorders>
              <w:top w:val="nil"/>
              <w:left w:val="nil"/>
              <w:bottom w:val="double" w:sz="6" w:space="0" w:color="A6802D"/>
              <w:right w:val="single" w:sz="12" w:space="0" w:color="FFFFFF"/>
            </w:tcBorders>
            <w:shd w:val="clear" w:color="000000" w:fill="A6802D"/>
            <w:vAlign w:val="center"/>
            <w:hideMark/>
          </w:tcPr>
          <w:p w14:paraId="1142A1FE"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2025</w:t>
            </w:r>
          </w:p>
        </w:tc>
        <w:tc>
          <w:tcPr>
            <w:tcW w:w="2117" w:type="dxa"/>
            <w:tcBorders>
              <w:top w:val="nil"/>
              <w:left w:val="nil"/>
              <w:bottom w:val="double" w:sz="6" w:space="0" w:color="A6802D"/>
              <w:right w:val="nil"/>
            </w:tcBorders>
            <w:shd w:val="clear" w:color="000000" w:fill="A6802D"/>
            <w:vAlign w:val="center"/>
            <w:hideMark/>
          </w:tcPr>
          <w:p w14:paraId="444D4193"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2024</w:t>
            </w:r>
          </w:p>
        </w:tc>
      </w:tr>
      <w:tr w:rsidR="00DE3B9A" w:rsidRPr="00DE3B9A" w14:paraId="3352C6BA" w14:textId="77777777" w:rsidTr="00DE3B9A">
        <w:trPr>
          <w:trHeight w:val="282"/>
        </w:trPr>
        <w:tc>
          <w:tcPr>
            <w:tcW w:w="5291" w:type="dxa"/>
            <w:tcBorders>
              <w:top w:val="nil"/>
              <w:left w:val="nil"/>
              <w:bottom w:val="single" w:sz="12" w:space="0" w:color="A6802D"/>
              <w:right w:val="nil"/>
            </w:tcBorders>
            <w:shd w:val="clear" w:color="000000" w:fill="F2F2F2"/>
            <w:vAlign w:val="center"/>
            <w:hideMark/>
          </w:tcPr>
          <w:p w14:paraId="4B90B06C" w14:textId="77777777" w:rsidR="00DE3B9A" w:rsidRPr="00DE3B9A" w:rsidRDefault="00DE3B9A" w:rsidP="00DE3B9A">
            <w:pPr>
              <w:spacing w:after="0" w:line="240" w:lineRule="auto"/>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Pasivos en moneda extranjera</w:t>
            </w:r>
          </w:p>
        </w:tc>
        <w:tc>
          <w:tcPr>
            <w:tcW w:w="1961" w:type="dxa"/>
            <w:tcBorders>
              <w:top w:val="nil"/>
              <w:left w:val="nil"/>
              <w:bottom w:val="single" w:sz="12" w:space="0" w:color="A6802D"/>
              <w:right w:val="nil"/>
            </w:tcBorders>
            <w:shd w:val="clear" w:color="000000" w:fill="F2F2F2"/>
            <w:vAlign w:val="center"/>
            <w:hideMark/>
          </w:tcPr>
          <w:p w14:paraId="08CCF196" w14:textId="621BA014" w:rsidR="00DE3B9A" w:rsidRPr="00DE3B9A" w:rsidRDefault="00E548B2" w:rsidP="00DE3B9A">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6,159</w:t>
            </w:r>
            <w:r w:rsidR="00DE3B9A" w:rsidRPr="00DE3B9A">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402</w:t>
            </w:r>
            <w:r w:rsidR="00DE3B9A" w:rsidRPr="00DE3B9A">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8</w:t>
            </w:r>
            <w:r w:rsidR="00DE3B9A" w:rsidRPr="00DE3B9A">
              <w:rPr>
                <w:rFonts w:ascii="Noto Sans" w:eastAsia="Times New Roman" w:hAnsi="Noto Sans" w:cs="Noto Sans"/>
                <w:color w:val="000000"/>
                <w:sz w:val="15"/>
                <w:szCs w:val="15"/>
                <w:lang w:eastAsia="es-MX"/>
              </w:rPr>
              <w:t xml:space="preserve"> USD</w:t>
            </w:r>
          </w:p>
        </w:tc>
        <w:tc>
          <w:tcPr>
            <w:tcW w:w="2117" w:type="dxa"/>
            <w:tcBorders>
              <w:top w:val="nil"/>
              <w:left w:val="nil"/>
              <w:bottom w:val="single" w:sz="12" w:space="0" w:color="A6802D"/>
              <w:right w:val="nil"/>
            </w:tcBorders>
            <w:shd w:val="clear" w:color="000000" w:fill="F2F2F2"/>
            <w:vAlign w:val="center"/>
            <w:hideMark/>
          </w:tcPr>
          <w:p w14:paraId="395CAC82"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0.0 USD</w:t>
            </w:r>
          </w:p>
        </w:tc>
      </w:tr>
      <w:tr w:rsidR="00DE3B9A" w:rsidRPr="00DE3B9A" w14:paraId="08FABBA9" w14:textId="77777777" w:rsidTr="00DE3B9A">
        <w:trPr>
          <w:trHeight w:val="268"/>
        </w:trPr>
        <w:tc>
          <w:tcPr>
            <w:tcW w:w="5291" w:type="dxa"/>
            <w:tcBorders>
              <w:top w:val="nil"/>
              <w:left w:val="nil"/>
              <w:bottom w:val="nil"/>
              <w:right w:val="nil"/>
            </w:tcBorders>
            <w:vAlign w:val="center"/>
            <w:hideMark/>
          </w:tcPr>
          <w:p w14:paraId="099E9CB3" w14:textId="77777777" w:rsidR="00DE3B9A" w:rsidRPr="00DE3B9A" w:rsidRDefault="00DE3B9A" w:rsidP="00DE3B9A">
            <w:pPr>
              <w:spacing w:after="0" w:line="240" w:lineRule="auto"/>
              <w:rPr>
                <w:rFonts w:ascii="Noto Sans" w:eastAsia="Times New Roman" w:hAnsi="Noto Sans" w:cs="Noto Sans"/>
                <w:color w:val="000000"/>
                <w:sz w:val="14"/>
                <w:szCs w:val="14"/>
                <w:lang w:eastAsia="es-MX"/>
              </w:rPr>
            </w:pPr>
            <w:r w:rsidRPr="00DE3B9A">
              <w:rPr>
                <w:rFonts w:ascii="Noto Sans" w:eastAsia="Times New Roman" w:hAnsi="Noto Sans" w:cs="Noto Sans"/>
                <w:color w:val="000000"/>
                <w:sz w:val="14"/>
                <w:szCs w:val="14"/>
                <w:lang w:eastAsia="es-MX"/>
              </w:rPr>
              <w:t>FUENTE: Instituto Mexicano del Seguro Social</w:t>
            </w:r>
          </w:p>
        </w:tc>
        <w:tc>
          <w:tcPr>
            <w:tcW w:w="1961" w:type="dxa"/>
            <w:tcBorders>
              <w:top w:val="nil"/>
              <w:left w:val="nil"/>
              <w:bottom w:val="nil"/>
              <w:right w:val="nil"/>
            </w:tcBorders>
            <w:vAlign w:val="center"/>
            <w:hideMark/>
          </w:tcPr>
          <w:p w14:paraId="24EE2B50"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c>
          <w:tcPr>
            <w:tcW w:w="2117" w:type="dxa"/>
            <w:tcBorders>
              <w:top w:val="nil"/>
              <w:left w:val="nil"/>
              <w:bottom w:val="nil"/>
              <w:right w:val="nil"/>
            </w:tcBorders>
            <w:vAlign w:val="center"/>
            <w:hideMark/>
          </w:tcPr>
          <w:p w14:paraId="60005CF3"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r>
    </w:tbl>
    <w:p w14:paraId="1BF4EFAE" w14:textId="77777777" w:rsidR="0002360D" w:rsidRPr="002B3F78" w:rsidRDefault="0002360D" w:rsidP="0002360D">
      <w:pPr>
        <w:pStyle w:val="TEXTONORMAL"/>
        <w:rPr>
          <w:rFonts w:cs="Noto Sans"/>
          <w:sz w:val="8"/>
          <w:szCs w:val="18"/>
        </w:rPr>
      </w:pPr>
    </w:p>
    <w:p w14:paraId="1E9BA24E" w14:textId="77777777" w:rsidR="0002360D" w:rsidRPr="00C746D1" w:rsidRDefault="0002360D" w:rsidP="00D06BE8">
      <w:pPr>
        <w:pStyle w:val="TEXTONORMAL"/>
        <w:numPr>
          <w:ilvl w:val="0"/>
          <w:numId w:val="81"/>
        </w:numPr>
        <w:ind w:left="714" w:hanging="357"/>
      </w:pPr>
      <w:r w:rsidRPr="00C746D1">
        <w:t xml:space="preserve">Posición en moneda extranjera </w:t>
      </w:r>
    </w:p>
    <w:p w14:paraId="53AE57BC" w14:textId="3FEDEC39" w:rsidR="0002360D" w:rsidRDefault="0002360D" w:rsidP="0002360D">
      <w:pPr>
        <w:pStyle w:val="TEXTONORMAL"/>
      </w:pPr>
      <w:r w:rsidRPr="0082264B">
        <w:t xml:space="preserve">La posición en moneda extranjera al </w:t>
      </w:r>
      <w:r w:rsidR="00D8625E" w:rsidRPr="002B3F78">
        <w:rPr>
          <w:rFonts w:cs="Noto Sans"/>
          <w:szCs w:val="18"/>
        </w:rPr>
        <w:t>3</w:t>
      </w:r>
      <w:r w:rsidR="00D8625E">
        <w:rPr>
          <w:rFonts w:cs="Noto Sans"/>
          <w:szCs w:val="18"/>
        </w:rPr>
        <w:t>0</w:t>
      </w:r>
      <w:r w:rsidR="00D8625E" w:rsidRPr="002B3F78">
        <w:rPr>
          <w:rFonts w:cs="Noto Sans"/>
          <w:szCs w:val="18"/>
        </w:rPr>
        <w:t xml:space="preserve"> de </w:t>
      </w:r>
      <w:r w:rsidR="00D8625E">
        <w:rPr>
          <w:rFonts w:cs="Noto Sans"/>
          <w:szCs w:val="18"/>
        </w:rPr>
        <w:t>junio</w:t>
      </w:r>
      <w:r w:rsidR="00D8625E" w:rsidRPr="002B3F78">
        <w:rPr>
          <w:rFonts w:cs="Noto Sans"/>
          <w:szCs w:val="18"/>
        </w:rPr>
        <w:t xml:space="preserve"> </w:t>
      </w:r>
      <w:r w:rsidR="002B3F78" w:rsidRPr="002B3F78">
        <w:rPr>
          <w:rFonts w:cs="Noto Sans"/>
          <w:szCs w:val="18"/>
        </w:rPr>
        <w:t>de 2025</w:t>
      </w:r>
      <w:r w:rsidR="002B3F78">
        <w:rPr>
          <w:rFonts w:cs="Noto Sans"/>
          <w:szCs w:val="18"/>
        </w:rPr>
        <w:t xml:space="preserve"> Y</w:t>
      </w:r>
      <w:r w:rsidR="002B3F78" w:rsidRPr="00E0791C">
        <w:rPr>
          <w:rFonts w:cs="Noto Sans"/>
          <w:szCs w:val="18"/>
        </w:rPr>
        <w:t xml:space="preserve"> 31 de diciembre de 2024</w:t>
      </w:r>
      <w:r w:rsidR="002B3F78">
        <w:rPr>
          <w:rFonts w:cs="Noto Sans"/>
          <w:szCs w:val="18"/>
        </w:rPr>
        <w:t xml:space="preserve"> </w:t>
      </w:r>
      <w:r w:rsidRPr="0082264B">
        <w:t>asciende a:</w:t>
      </w:r>
    </w:p>
    <w:tbl>
      <w:tblPr>
        <w:tblW w:w="9596" w:type="dxa"/>
        <w:tblInd w:w="1762" w:type="dxa"/>
        <w:tblCellMar>
          <w:left w:w="70" w:type="dxa"/>
          <w:right w:w="70" w:type="dxa"/>
        </w:tblCellMar>
        <w:tblLook w:val="04A0" w:firstRow="1" w:lastRow="0" w:firstColumn="1" w:lastColumn="0" w:noHBand="0" w:noVBand="1"/>
      </w:tblPr>
      <w:tblGrid>
        <w:gridCol w:w="5419"/>
        <w:gridCol w:w="2009"/>
        <w:gridCol w:w="2168"/>
      </w:tblGrid>
      <w:tr w:rsidR="00DE3B9A" w:rsidRPr="00DE3B9A" w14:paraId="1DB22217" w14:textId="77777777" w:rsidTr="00DE3B9A">
        <w:trPr>
          <w:trHeight w:val="269"/>
        </w:trPr>
        <w:tc>
          <w:tcPr>
            <w:tcW w:w="5419" w:type="dxa"/>
            <w:vMerge w:val="restart"/>
            <w:tcBorders>
              <w:top w:val="double" w:sz="6" w:space="0" w:color="A6802D"/>
              <w:left w:val="nil"/>
              <w:bottom w:val="nil"/>
              <w:right w:val="single" w:sz="12" w:space="0" w:color="FFFFFF"/>
            </w:tcBorders>
            <w:shd w:val="clear" w:color="000000" w:fill="A6802D"/>
            <w:vAlign w:val="center"/>
            <w:hideMark/>
          </w:tcPr>
          <w:p w14:paraId="73F0257E"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Concepto</w:t>
            </w:r>
          </w:p>
        </w:tc>
        <w:tc>
          <w:tcPr>
            <w:tcW w:w="4177" w:type="dxa"/>
            <w:gridSpan w:val="2"/>
            <w:tcBorders>
              <w:top w:val="double" w:sz="6" w:space="0" w:color="A6802D"/>
              <w:left w:val="nil"/>
              <w:bottom w:val="single" w:sz="12" w:space="0" w:color="FFFFFF"/>
              <w:right w:val="nil"/>
            </w:tcBorders>
            <w:shd w:val="clear" w:color="000000" w:fill="A6802D"/>
            <w:vAlign w:val="center"/>
            <w:hideMark/>
          </w:tcPr>
          <w:p w14:paraId="5EDB49FC"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Cifras en dólares americanos</w:t>
            </w:r>
          </w:p>
        </w:tc>
      </w:tr>
      <w:tr w:rsidR="00DE3B9A" w:rsidRPr="00DE3B9A" w14:paraId="35F4D90C" w14:textId="77777777" w:rsidTr="00DE3B9A">
        <w:trPr>
          <w:trHeight w:val="257"/>
        </w:trPr>
        <w:tc>
          <w:tcPr>
            <w:tcW w:w="5419" w:type="dxa"/>
            <w:vMerge/>
            <w:tcBorders>
              <w:top w:val="double" w:sz="6" w:space="0" w:color="A6802D"/>
              <w:left w:val="nil"/>
              <w:bottom w:val="nil"/>
              <w:right w:val="single" w:sz="12" w:space="0" w:color="FFFFFF"/>
            </w:tcBorders>
            <w:vAlign w:val="center"/>
            <w:hideMark/>
          </w:tcPr>
          <w:p w14:paraId="55D28227" w14:textId="77777777" w:rsidR="00DE3B9A" w:rsidRPr="00DE3B9A" w:rsidRDefault="00DE3B9A" w:rsidP="00DE3B9A">
            <w:pPr>
              <w:spacing w:after="0" w:line="240" w:lineRule="auto"/>
              <w:rPr>
                <w:rFonts w:ascii="Noto Sans" w:eastAsia="Times New Roman" w:hAnsi="Noto Sans" w:cs="Noto Sans"/>
                <w:b/>
                <w:bCs/>
                <w:color w:val="FFFFFF"/>
                <w:sz w:val="16"/>
                <w:szCs w:val="16"/>
                <w:lang w:eastAsia="es-MX"/>
              </w:rPr>
            </w:pPr>
          </w:p>
        </w:tc>
        <w:tc>
          <w:tcPr>
            <w:tcW w:w="2009" w:type="dxa"/>
            <w:tcBorders>
              <w:top w:val="nil"/>
              <w:left w:val="nil"/>
              <w:bottom w:val="nil"/>
              <w:right w:val="single" w:sz="12" w:space="0" w:color="FFFFFF"/>
            </w:tcBorders>
            <w:shd w:val="clear" w:color="000000" w:fill="A6802D"/>
            <w:vAlign w:val="center"/>
            <w:hideMark/>
          </w:tcPr>
          <w:p w14:paraId="07D7FC0C"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2025</w:t>
            </w:r>
          </w:p>
        </w:tc>
        <w:tc>
          <w:tcPr>
            <w:tcW w:w="2167" w:type="dxa"/>
            <w:tcBorders>
              <w:top w:val="nil"/>
              <w:left w:val="nil"/>
              <w:bottom w:val="nil"/>
              <w:right w:val="nil"/>
            </w:tcBorders>
            <w:shd w:val="clear" w:color="000000" w:fill="A6802D"/>
            <w:vAlign w:val="center"/>
            <w:hideMark/>
          </w:tcPr>
          <w:p w14:paraId="03ECFEBA" w14:textId="77777777" w:rsidR="00DE3B9A" w:rsidRPr="00DE3B9A" w:rsidRDefault="00DE3B9A" w:rsidP="00DE3B9A">
            <w:pPr>
              <w:spacing w:after="0" w:line="240" w:lineRule="auto"/>
              <w:jc w:val="center"/>
              <w:rPr>
                <w:rFonts w:ascii="Noto Sans" w:eastAsia="Times New Roman" w:hAnsi="Noto Sans" w:cs="Noto Sans"/>
                <w:b/>
                <w:bCs/>
                <w:color w:val="FFFFFF"/>
                <w:sz w:val="16"/>
                <w:szCs w:val="16"/>
                <w:lang w:eastAsia="es-MX"/>
              </w:rPr>
            </w:pPr>
            <w:r w:rsidRPr="00DE3B9A">
              <w:rPr>
                <w:rFonts w:ascii="Noto Sans" w:eastAsia="Times New Roman" w:hAnsi="Noto Sans" w:cs="Noto Sans"/>
                <w:b/>
                <w:bCs/>
                <w:color w:val="FFFFFF"/>
                <w:sz w:val="16"/>
                <w:szCs w:val="16"/>
                <w:lang w:eastAsia="es-MX"/>
              </w:rPr>
              <w:t>2024</w:t>
            </w:r>
          </w:p>
        </w:tc>
      </w:tr>
      <w:tr w:rsidR="00DE3B9A" w:rsidRPr="00DE3B9A" w14:paraId="780D557E" w14:textId="77777777" w:rsidTr="00DE3B9A">
        <w:trPr>
          <w:trHeight w:val="245"/>
        </w:trPr>
        <w:tc>
          <w:tcPr>
            <w:tcW w:w="5419" w:type="dxa"/>
            <w:tcBorders>
              <w:top w:val="nil"/>
              <w:left w:val="nil"/>
              <w:bottom w:val="nil"/>
              <w:right w:val="nil"/>
            </w:tcBorders>
            <w:shd w:val="clear" w:color="000000" w:fill="F2F2F2"/>
            <w:vAlign w:val="center"/>
            <w:hideMark/>
          </w:tcPr>
          <w:p w14:paraId="0D377309" w14:textId="77777777" w:rsidR="00DE3B9A" w:rsidRPr="00DE3B9A" w:rsidRDefault="00DE3B9A" w:rsidP="00DE3B9A">
            <w:pPr>
              <w:spacing w:after="0" w:line="240" w:lineRule="auto"/>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Activos en moneda extranjera</w:t>
            </w:r>
          </w:p>
        </w:tc>
        <w:tc>
          <w:tcPr>
            <w:tcW w:w="2009" w:type="dxa"/>
            <w:tcBorders>
              <w:top w:val="nil"/>
              <w:left w:val="nil"/>
              <w:bottom w:val="nil"/>
              <w:right w:val="nil"/>
            </w:tcBorders>
            <w:shd w:val="clear" w:color="000000" w:fill="F2F2F2"/>
            <w:vAlign w:val="center"/>
            <w:hideMark/>
          </w:tcPr>
          <w:p w14:paraId="2344D34C" w14:textId="055B48AF" w:rsidR="00DE3B9A" w:rsidRPr="00DE3B9A" w:rsidRDefault="00802737" w:rsidP="00DE3B9A">
            <w:pPr>
              <w:spacing w:after="0" w:line="240" w:lineRule="auto"/>
              <w:jc w:val="right"/>
              <w:rPr>
                <w:rFonts w:ascii="Noto Sans" w:eastAsia="Times New Roman" w:hAnsi="Noto Sans" w:cs="Noto Sans"/>
                <w:color w:val="000000"/>
                <w:sz w:val="15"/>
                <w:szCs w:val="15"/>
                <w:lang w:eastAsia="es-MX"/>
              </w:rPr>
            </w:pPr>
            <w:r w:rsidRPr="002B3F78">
              <w:rPr>
                <w:rFonts w:ascii="Noto Sans" w:eastAsia="Times New Roman" w:hAnsi="Noto Sans" w:cs="Noto Sans"/>
                <w:color w:val="000000"/>
                <w:sz w:val="15"/>
                <w:szCs w:val="15"/>
                <w:lang w:eastAsia="es-MX"/>
              </w:rPr>
              <w:t>12,</w:t>
            </w:r>
            <w:r>
              <w:rPr>
                <w:rFonts w:ascii="Noto Sans" w:eastAsia="Times New Roman" w:hAnsi="Noto Sans" w:cs="Noto Sans"/>
                <w:color w:val="000000"/>
                <w:sz w:val="15"/>
                <w:szCs w:val="15"/>
                <w:lang w:eastAsia="es-MX"/>
              </w:rPr>
              <w:t>264</w:t>
            </w:r>
            <w:r w:rsidRPr="002B3F78">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 xml:space="preserve">436.5 </w:t>
            </w:r>
            <w:r w:rsidR="00DE3B9A" w:rsidRPr="00DE3B9A">
              <w:rPr>
                <w:rFonts w:ascii="Noto Sans" w:eastAsia="Times New Roman" w:hAnsi="Noto Sans" w:cs="Noto Sans"/>
                <w:color w:val="000000"/>
                <w:sz w:val="15"/>
                <w:szCs w:val="15"/>
                <w:lang w:eastAsia="es-MX"/>
              </w:rPr>
              <w:t>USD</w:t>
            </w:r>
          </w:p>
        </w:tc>
        <w:tc>
          <w:tcPr>
            <w:tcW w:w="2167" w:type="dxa"/>
            <w:tcBorders>
              <w:top w:val="nil"/>
              <w:left w:val="nil"/>
              <w:bottom w:val="nil"/>
              <w:right w:val="nil"/>
            </w:tcBorders>
            <w:shd w:val="clear" w:color="000000" w:fill="F2F2F2"/>
            <w:vAlign w:val="center"/>
            <w:hideMark/>
          </w:tcPr>
          <w:p w14:paraId="226AD8D6"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12,116,943.1 USD</w:t>
            </w:r>
          </w:p>
        </w:tc>
      </w:tr>
      <w:tr w:rsidR="00DE3B9A" w:rsidRPr="00DE3B9A" w14:paraId="39E238C1" w14:textId="77777777" w:rsidTr="00DE3B9A">
        <w:trPr>
          <w:trHeight w:val="245"/>
        </w:trPr>
        <w:tc>
          <w:tcPr>
            <w:tcW w:w="5419" w:type="dxa"/>
            <w:tcBorders>
              <w:top w:val="nil"/>
              <w:left w:val="nil"/>
              <w:bottom w:val="nil"/>
              <w:right w:val="nil"/>
            </w:tcBorders>
            <w:shd w:val="clear" w:color="000000" w:fill="F2F2F2"/>
            <w:vAlign w:val="center"/>
            <w:hideMark/>
          </w:tcPr>
          <w:p w14:paraId="3295B51D" w14:textId="77777777" w:rsidR="00DE3B9A" w:rsidRPr="00DE3B9A" w:rsidRDefault="00DE3B9A" w:rsidP="00DE3B9A">
            <w:pPr>
              <w:spacing w:after="0" w:line="240" w:lineRule="auto"/>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Pasivos en moneda extranjera</w:t>
            </w:r>
          </w:p>
        </w:tc>
        <w:tc>
          <w:tcPr>
            <w:tcW w:w="2009" w:type="dxa"/>
            <w:tcBorders>
              <w:top w:val="nil"/>
              <w:left w:val="nil"/>
              <w:bottom w:val="nil"/>
              <w:right w:val="nil"/>
            </w:tcBorders>
            <w:shd w:val="clear" w:color="000000" w:fill="F2F2F2"/>
            <w:vAlign w:val="center"/>
            <w:hideMark/>
          </w:tcPr>
          <w:p w14:paraId="3451FA91" w14:textId="774FAEF2" w:rsidR="00DE3B9A" w:rsidRPr="00DE3B9A" w:rsidRDefault="00683D69" w:rsidP="00DE3B9A">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6,159</w:t>
            </w:r>
            <w:r w:rsidRPr="00DE3B9A">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402</w:t>
            </w:r>
            <w:r w:rsidRPr="00DE3B9A">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8</w:t>
            </w:r>
            <w:r w:rsidRPr="00DE3B9A">
              <w:rPr>
                <w:rFonts w:ascii="Noto Sans" w:eastAsia="Times New Roman" w:hAnsi="Noto Sans" w:cs="Noto Sans"/>
                <w:color w:val="000000"/>
                <w:sz w:val="15"/>
                <w:szCs w:val="15"/>
                <w:lang w:eastAsia="es-MX"/>
              </w:rPr>
              <w:t xml:space="preserve"> </w:t>
            </w:r>
            <w:r w:rsidR="00DE3B9A" w:rsidRPr="00DE3B9A">
              <w:rPr>
                <w:rFonts w:ascii="Noto Sans" w:eastAsia="Times New Roman" w:hAnsi="Noto Sans" w:cs="Noto Sans"/>
                <w:color w:val="000000"/>
                <w:sz w:val="15"/>
                <w:szCs w:val="15"/>
                <w:lang w:eastAsia="es-MX"/>
              </w:rPr>
              <w:t>USD</w:t>
            </w:r>
          </w:p>
        </w:tc>
        <w:tc>
          <w:tcPr>
            <w:tcW w:w="2167" w:type="dxa"/>
            <w:tcBorders>
              <w:top w:val="nil"/>
              <w:left w:val="nil"/>
              <w:bottom w:val="nil"/>
              <w:right w:val="nil"/>
            </w:tcBorders>
            <w:shd w:val="clear" w:color="000000" w:fill="F2F2F2"/>
            <w:vAlign w:val="center"/>
            <w:hideMark/>
          </w:tcPr>
          <w:p w14:paraId="48066F22" w14:textId="77777777" w:rsidR="00DE3B9A" w:rsidRPr="00DE3B9A" w:rsidRDefault="00DE3B9A" w:rsidP="00DE3B9A">
            <w:pPr>
              <w:spacing w:after="0" w:line="240" w:lineRule="auto"/>
              <w:jc w:val="right"/>
              <w:rPr>
                <w:rFonts w:ascii="Noto Sans" w:eastAsia="Times New Roman" w:hAnsi="Noto Sans" w:cs="Noto Sans"/>
                <w:color w:val="000000"/>
                <w:sz w:val="15"/>
                <w:szCs w:val="15"/>
                <w:lang w:eastAsia="es-MX"/>
              </w:rPr>
            </w:pPr>
            <w:r w:rsidRPr="00DE3B9A">
              <w:rPr>
                <w:rFonts w:ascii="Noto Sans" w:eastAsia="Times New Roman" w:hAnsi="Noto Sans" w:cs="Noto Sans"/>
                <w:color w:val="000000"/>
                <w:sz w:val="15"/>
                <w:szCs w:val="15"/>
                <w:lang w:eastAsia="es-MX"/>
              </w:rPr>
              <w:t>0.0 USD</w:t>
            </w:r>
          </w:p>
        </w:tc>
      </w:tr>
      <w:tr w:rsidR="00DE3B9A" w:rsidRPr="00DE3B9A" w14:paraId="7639DB72" w14:textId="77777777" w:rsidTr="00DE3B9A">
        <w:trPr>
          <w:trHeight w:val="257"/>
        </w:trPr>
        <w:tc>
          <w:tcPr>
            <w:tcW w:w="5419" w:type="dxa"/>
            <w:tcBorders>
              <w:top w:val="nil"/>
              <w:left w:val="nil"/>
              <w:bottom w:val="single" w:sz="12" w:space="0" w:color="A6802D"/>
              <w:right w:val="nil"/>
            </w:tcBorders>
            <w:shd w:val="clear" w:color="000000" w:fill="F2F2F2"/>
            <w:vAlign w:val="center"/>
            <w:hideMark/>
          </w:tcPr>
          <w:p w14:paraId="36A80FF1" w14:textId="77777777" w:rsidR="00DE3B9A" w:rsidRPr="00DE3B9A" w:rsidRDefault="00DE3B9A" w:rsidP="00DE3B9A">
            <w:pPr>
              <w:spacing w:after="0" w:line="240" w:lineRule="auto"/>
              <w:rPr>
                <w:rFonts w:ascii="Noto Sans" w:eastAsia="Times New Roman" w:hAnsi="Noto Sans" w:cs="Noto Sans"/>
                <w:b/>
                <w:bCs/>
                <w:color w:val="000000"/>
                <w:sz w:val="15"/>
                <w:szCs w:val="15"/>
                <w:lang w:eastAsia="es-MX"/>
              </w:rPr>
            </w:pPr>
            <w:r w:rsidRPr="00DE3B9A">
              <w:rPr>
                <w:rFonts w:ascii="Noto Sans" w:eastAsia="Times New Roman" w:hAnsi="Noto Sans" w:cs="Noto Sans"/>
                <w:b/>
                <w:bCs/>
                <w:color w:val="000000"/>
                <w:sz w:val="15"/>
                <w:szCs w:val="15"/>
                <w:lang w:eastAsia="es-MX"/>
              </w:rPr>
              <w:t>Posición en moneda extranjera</w:t>
            </w:r>
          </w:p>
        </w:tc>
        <w:tc>
          <w:tcPr>
            <w:tcW w:w="2009" w:type="dxa"/>
            <w:tcBorders>
              <w:top w:val="nil"/>
              <w:left w:val="nil"/>
              <w:bottom w:val="single" w:sz="12" w:space="0" w:color="A6802D"/>
              <w:right w:val="nil"/>
            </w:tcBorders>
            <w:shd w:val="clear" w:color="000000" w:fill="F2F2F2"/>
            <w:vAlign w:val="center"/>
            <w:hideMark/>
          </w:tcPr>
          <w:p w14:paraId="6878637F" w14:textId="7A93A176" w:rsidR="00DE3B9A" w:rsidRPr="00DE3B9A" w:rsidRDefault="00C974BA" w:rsidP="00DE3B9A">
            <w:pPr>
              <w:spacing w:after="0" w:line="240" w:lineRule="auto"/>
              <w:jc w:val="right"/>
              <w:rPr>
                <w:rFonts w:ascii="Noto Sans" w:eastAsia="Times New Roman" w:hAnsi="Noto Sans" w:cs="Noto Sans"/>
                <w:b/>
                <w:bCs/>
                <w:color w:val="000000"/>
                <w:sz w:val="15"/>
                <w:szCs w:val="15"/>
                <w:lang w:eastAsia="es-MX"/>
              </w:rPr>
            </w:pPr>
            <w:r>
              <w:rPr>
                <w:rFonts w:ascii="Noto Sans" w:eastAsia="Times New Roman" w:hAnsi="Noto Sans" w:cs="Noto Sans"/>
                <w:b/>
                <w:bCs/>
                <w:color w:val="000000"/>
                <w:sz w:val="15"/>
                <w:szCs w:val="15"/>
                <w:lang w:eastAsia="es-MX"/>
              </w:rPr>
              <w:t>6</w:t>
            </w:r>
            <w:r w:rsidR="00FE2C19">
              <w:rPr>
                <w:rFonts w:ascii="Noto Sans" w:eastAsia="Times New Roman" w:hAnsi="Noto Sans" w:cs="Noto Sans"/>
                <w:b/>
                <w:bCs/>
                <w:color w:val="000000"/>
                <w:sz w:val="15"/>
                <w:szCs w:val="15"/>
                <w:lang w:eastAsia="es-MX"/>
              </w:rPr>
              <w:t>,</w:t>
            </w:r>
            <w:r>
              <w:rPr>
                <w:rFonts w:ascii="Noto Sans" w:eastAsia="Times New Roman" w:hAnsi="Noto Sans" w:cs="Noto Sans"/>
                <w:b/>
                <w:bCs/>
                <w:color w:val="000000"/>
                <w:sz w:val="15"/>
                <w:szCs w:val="15"/>
                <w:lang w:eastAsia="es-MX"/>
              </w:rPr>
              <w:t>105</w:t>
            </w:r>
            <w:r w:rsidR="00FE2C19">
              <w:rPr>
                <w:rFonts w:ascii="Noto Sans" w:eastAsia="Times New Roman" w:hAnsi="Noto Sans" w:cs="Noto Sans"/>
                <w:b/>
                <w:bCs/>
                <w:color w:val="000000"/>
                <w:sz w:val="15"/>
                <w:szCs w:val="15"/>
                <w:lang w:eastAsia="es-MX"/>
              </w:rPr>
              <w:t>,</w:t>
            </w:r>
            <w:r>
              <w:rPr>
                <w:rFonts w:ascii="Noto Sans" w:eastAsia="Times New Roman" w:hAnsi="Noto Sans" w:cs="Noto Sans"/>
                <w:b/>
                <w:bCs/>
                <w:color w:val="000000"/>
                <w:sz w:val="15"/>
                <w:szCs w:val="15"/>
                <w:lang w:eastAsia="es-MX"/>
              </w:rPr>
              <w:t>033</w:t>
            </w:r>
            <w:r w:rsidR="0052350A">
              <w:rPr>
                <w:rFonts w:ascii="Noto Sans" w:eastAsia="Times New Roman" w:hAnsi="Noto Sans" w:cs="Noto Sans"/>
                <w:b/>
                <w:bCs/>
                <w:color w:val="000000"/>
                <w:sz w:val="15"/>
                <w:szCs w:val="15"/>
                <w:lang w:eastAsia="es-MX"/>
              </w:rPr>
              <w:t>.</w:t>
            </w:r>
            <w:r>
              <w:rPr>
                <w:rFonts w:ascii="Noto Sans" w:eastAsia="Times New Roman" w:hAnsi="Noto Sans" w:cs="Noto Sans"/>
                <w:b/>
                <w:bCs/>
                <w:color w:val="000000"/>
                <w:sz w:val="15"/>
                <w:szCs w:val="15"/>
                <w:lang w:eastAsia="es-MX"/>
              </w:rPr>
              <w:t>7</w:t>
            </w:r>
            <w:r w:rsidR="0052350A">
              <w:rPr>
                <w:rFonts w:ascii="Noto Sans" w:eastAsia="Times New Roman" w:hAnsi="Noto Sans" w:cs="Noto Sans"/>
                <w:b/>
                <w:bCs/>
                <w:color w:val="000000"/>
                <w:sz w:val="15"/>
                <w:szCs w:val="15"/>
                <w:lang w:eastAsia="es-MX"/>
              </w:rPr>
              <w:t xml:space="preserve"> </w:t>
            </w:r>
            <w:r w:rsidR="00DE3B9A" w:rsidRPr="00DE3B9A">
              <w:rPr>
                <w:rFonts w:ascii="Noto Sans" w:eastAsia="Times New Roman" w:hAnsi="Noto Sans" w:cs="Noto Sans"/>
                <w:b/>
                <w:bCs/>
                <w:color w:val="000000"/>
                <w:sz w:val="15"/>
                <w:szCs w:val="15"/>
                <w:lang w:eastAsia="es-MX"/>
              </w:rPr>
              <w:t>USD</w:t>
            </w:r>
          </w:p>
        </w:tc>
        <w:tc>
          <w:tcPr>
            <w:tcW w:w="2167" w:type="dxa"/>
            <w:tcBorders>
              <w:top w:val="nil"/>
              <w:left w:val="nil"/>
              <w:bottom w:val="single" w:sz="12" w:space="0" w:color="A6802D"/>
              <w:right w:val="nil"/>
            </w:tcBorders>
            <w:shd w:val="clear" w:color="000000" w:fill="F2F2F2"/>
            <w:vAlign w:val="center"/>
            <w:hideMark/>
          </w:tcPr>
          <w:p w14:paraId="6D8DDBE5" w14:textId="77777777" w:rsidR="00DE3B9A" w:rsidRPr="00DE3B9A" w:rsidRDefault="00DE3B9A" w:rsidP="00DE3B9A">
            <w:pPr>
              <w:spacing w:after="0" w:line="240" w:lineRule="auto"/>
              <w:jc w:val="right"/>
              <w:rPr>
                <w:rFonts w:ascii="Noto Sans" w:eastAsia="Times New Roman" w:hAnsi="Noto Sans" w:cs="Noto Sans"/>
                <w:b/>
                <w:bCs/>
                <w:color w:val="000000"/>
                <w:sz w:val="15"/>
                <w:szCs w:val="15"/>
                <w:lang w:eastAsia="es-MX"/>
              </w:rPr>
            </w:pPr>
            <w:r w:rsidRPr="00DE3B9A">
              <w:rPr>
                <w:rFonts w:ascii="Noto Sans" w:eastAsia="Times New Roman" w:hAnsi="Noto Sans" w:cs="Noto Sans"/>
                <w:b/>
                <w:bCs/>
                <w:color w:val="000000"/>
                <w:sz w:val="15"/>
                <w:szCs w:val="15"/>
                <w:lang w:eastAsia="es-MX"/>
              </w:rPr>
              <w:t>12,116,943.1 USD</w:t>
            </w:r>
          </w:p>
        </w:tc>
      </w:tr>
      <w:tr w:rsidR="00DE3B9A" w:rsidRPr="00DE3B9A" w14:paraId="621857E5" w14:textId="77777777" w:rsidTr="00DE3B9A">
        <w:trPr>
          <w:trHeight w:val="257"/>
        </w:trPr>
        <w:tc>
          <w:tcPr>
            <w:tcW w:w="5419" w:type="dxa"/>
            <w:tcBorders>
              <w:top w:val="nil"/>
              <w:left w:val="nil"/>
              <w:bottom w:val="nil"/>
              <w:right w:val="nil"/>
            </w:tcBorders>
            <w:vAlign w:val="center"/>
            <w:hideMark/>
          </w:tcPr>
          <w:p w14:paraId="24A49CFA" w14:textId="77777777" w:rsidR="00DE3B9A" w:rsidRPr="00DE3B9A" w:rsidRDefault="00DE3B9A" w:rsidP="00DE3B9A">
            <w:pPr>
              <w:spacing w:after="0" w:line="240" w:lineRule="auto"/>
              <w:rPr>
                <w:rFonts w:ascii="Noto Sans" w:eastAsia="Times New Roman" w:hAnsi="Noto Sans" w:cs="Noto Sans"/>
                <w:color w:val="000000"/>
                <w:sz w:val="14"/>
                <w:szCs w:val="14"/>
                <w:lang w:eastAsia="es-MX"/>
              </w:rPr>
            </w:pPr>
            <w:r w:rsidRPr="00DE3B9A">
              <w:rPr>
                <w:rFonts w:ascii="Noto Sans" w:eastAsia="Times New Roman" w:hAnsi="Noto Sans" w:cs="Noto Sans"/>
                <w:color w:val="000000"/>
                <w:sz w:val="14"/>
                <w:szCs w:val="14"/>
                <w:lang w:eastAsia="es-MX"/>
              </w:rPr>
              <w:t>FUENTE: Instituto Mexicano del Seguro Social</w:t>
            </w:r>
          </w:p>
        </w:tc>
        <w:tc>
          <w:tcPr>
            <w:tcW w:w="2009" w:type="dxa"/>
            <w:tcBorders>
              <w:top w:val="nil"/>
              <w:left w:val="nil"/>
              <w:bottom w:val="nil"/>
              <w:right w:val="nil"/>
            </w:tcBorders>
            <w:vAlign w:val="center"/>
            <w:hideMark/>
          </w:tcPr>
          <w:p w14:paraId="5A26E056"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c>
          <w:tcPr>
            <w:tcW w:w="2167" w:type="dxa"/>
            <w:tcBorders>
              <w:top w:val="nil"/>
              <w:left w:val="nil"/>
              <w:bottom w:val="nil"/>
              <w:right w:val="nil"/>
            </w:tcBorders>
            <w:vAlign w:val="center"/>
            <w:hideMark/>
          </w:tcPr>
          <w:p w14:paraId="207921F4" w14:textId="77777777" w:rsidR="00DE3B9A" w:rsidRPr="00DE3B9A" w:rsidRDefault="00DE3B9A" w:rsidP="00DE3B9A">
            <w:pPr>
              <w:spacing w:after="0" w:line="240" w:lineRule="auto"/>
              <w:rPr>
                <w:rFonts w:ascii="Noto Sans" w:eastAsia="Times New Roman" w:hAnsi="Noto Sans" w:cs="Noto Sans"/>
                <w:b/>
                <w:bCs/>
                <w:color w:val="000000"/>
                <w:sz w:val="14"/>
                <w:szCs w:val="14"/>
                <w:lang w:eastAsia="es-MX"/>
              </w:rPr>
            </w:pPr>
            <w:r w:rsidRPr="00DE3B9A">
              <w:rPr>
                <w:rFonts w:ascii="Noto Sans" w:eastAsia="Times New Roman" w:hAnsi="Noto Sans" w:cs="Noto Sans"/>
                <w:b/>
                <w:bCs/>
                <w:color w:val="000000"/>
                <w:sz w:val="14"/>
                <w:szCs w:val="14"/>
                <w:lang w:eastAsia="es-MX"/>
              </w:rPr>
              <w:t> </w:t>
            </w:r>
          </w:p>
        </w:tc>
      </w:tr>
    </w:tbl>
    <w:p w14:paraId="5D4AFBFE" w14:textId="27313FF2" w:rsidR="0002360D" w:rsidRPr="00E0791C" w:rsidRDefault="0052350A" w:rsidP="0002360D">
      <w:pPr>
        <w:pStyle w:val="TEXTONORMAL"/>
        <w:rPr>
          <w:rFonts w:cs="Noto Sans"/>
          <w:szCs w:val="18"/>
        </w:rPr>
      </w:pPr>
      <w:r>
        <w:rPr>
          <w:rFonts w:cs="Noto Sans"/>
          <w:szCs w:val="18"/>
        </w:rPr>
        <w:t xml:space="preserve"> </w:t>
      </w:r>
    </w:p>
    <w:p w14:paraId="20B218F7" w14:textId="77777777" w:rsidR="0002360D" w:rsidRPr="00044795" w:rsidRDefault="0002360D" w:rsidP="00D06BE8">
      <w:pPr>
        <w:pStyle w:val="TEXTONORMAL"/>
        <w:numPr>
          <w:ilvl w:val="0"/>
          <w:numId w:val="82"/>
        </w:numPr>
        <w:ind w:left="714" w:hanging="357"/>
        <w:rPr>
          <w:rFonts w:cs="Noto Sans"/>
        </w:rPr>
      </w:pPr>
      <w:r w:rsidRPr="00044795">
        <w:rPr>
          <w:rFonts w:cs="Noto Sans"/>
        </w:rPr>
        <w:t>Tipo de cambio</w:t>
      </w:r>
    </w:p>
    <w:p w14:paraId="6B747F77" w14:textId="77777777" w:rsidR="0002360D" w:rsidRPr="00044795" w:rsidRDefault="0002360D" w:rsidP="0002360D">
      <w:pPr>
        <w:autoSpaceDE w:val="0"/>
        <w:autoSpaceDN w:val="0"/>
        <w:adjustRightInd w:val="0"/>
        <w:spacing w:after="0" w:line="240" w:lineRule="auto"/>
        <w:jc w:val="both"/>
        <w:rPr>
          <w:rFonts w:ascii="Noto Sans" w:hAnsi="Noto Sans" w:cs="Noto Sans"/>
          <w:sz w:val="18"/>
          <w:szCs w:val="18"/>
        </w:rPr>
      </w:pPr>
      <w:r w:rsidRPr="00044795">
        <w:rPr>
          <w:rFonts w:ascii="Noto Sans" w:hAnsi="Noto Sans" w:cs="Noto Sans"/>
          <w:sz w:val="18"/>
          <w:szCs w:val="18"/>
        </w:rPr>
        <w:t xml:space="preserve">Las transacciones en moneda extranjera se registran al tipo de cambio aplicable a la fecha de su celebración. Los activos y pasivos en moneda extranjera se valúan al tipo de cambio de la fecha del Estado de Situación Financiera. </w:t>
      </w:r>
    </w:p>
    <w:p w14:paraId="6F4AD9DC" w14:textId="77777777" w:rsidR="0002360D" w:rsidRPr="00044795" w:rsidRDefault="0002360D" w:rsidP="0002360D">
      <w:pPr>
        <w:autoSpaceDE w:val="0"/>
        <w:autoSpaceDN w:val="0"/>
        <w:adjustRightInd w:val="0"/>
        <w:spacing w:after="0" w:line="240" w:lineRule="auto"/>
        <w:jc w:val="both"/>
        <w:rPr>
          <w:rFonts w:ascii="Noto Sans" w:hAnsi="Noto Sans" w:cs="Noto Sans"/>
          <w:sz w:val="18"/>
          <w:szCs w:val="18"/>
        </w:rPr>
      </w:pPr>
    </w:p>
    <w:p w14:paraId="2594C0D6" w14:textId="00C37B09" w:rsidR="0002360D" w:rsidRPr="00044795" w:rsidRDefault="0002360D" w:rsidP="0002360D">
      <w:pPr>
        <w:autoSpaceDE w:val="0"/>
        <w:autoSpaceDN w:val="0"/>
        <w:adjustRightInd w:val="0"/>
        <w:spacing w:after="0" w:line="240" w:lineRule="auto"/>
        <w:jc w:val="both"/>
        <w:rPr>
          <w:rFonts w:ascii="Noto Sans" w:hAnsi="Noto Sans" w:cs="Noto Sans"/>
          <w:sz w:val="18"/>
          <w:szCs w:val="18"/>
        </w:rPr>
      </w:pPr>
      <w:r w:rsidRPr="00044795">
        <w:rPr>
          <w:rFonts w:ascii="Noto Sans" w:hAnsi="Noto Sans" w:cs="Noto Sans"/>
          <w:sz w:val="18"/>
          <w:szCs w:val="18"/>
        </w:rPr>
        <w:t xml:space="preserve">El tipo de cambio </w:t>
      </w:r>
      <w:r w:rsidR="000F4D76">
        <w:rPr>
          <w:rFonts w:ascii="Noto Sans" w:hAnsi="Noto Sans" w:cs="Noto Sans"/>
          <w:sz w:val="18"/>
          <w:szCs w:val="18"/>
        </w:rPr>
        <w:t>a</w:t>
      </w:r>
      <w:r w:rsidR="000F4D76" w:rsidRPr="000F4D76">
        <w:rPr>
          <w:rFonts w:ascii="Noto Sans" w:hAnsi="Noto Sans" w:cs="Noto Sans"/>
          <w:sz w:val="18"/>
          <w:szCs w:val="18"/>
        </w:rPr>
        <w:t>l 3</w:t>
      </w:r>
      <w:r w:rsidR="00BD4B6A">
        <w:rPr>
          <w:rFonts w:ascii="Noto Sans" w:hAnsi="Noto Sans" w:cs="Noto Sans"/>
          <w:sz w:val="18"/>
          <w:szCs w:val="18"/>
        </w:rPr>
        <w:t>0</w:t>
      </w:r>
      <w:r w:rsidR="000F4D76" w:rsidRPr="000F4D76">
        <w:rPr>
          <w:rFonts w:ascii="Noto Sans" w:hAnsi="Noto Sans" w:cs="Noto Sans"/>
          <w:sz w:val="18"/>
          <w:szCs w:val="18"/>
        </w:rPr>
        <w:t xml:space="preserve"> de </w:t>
      </w:r>
      <w:r w:rsidR="00BD4B6A">
        <w:rPr>
          <w:rFonts w:ascii="Noto Sans" w:hAnsi="Noto Sans" w:cs="Noto Sans"/>
          <w:sz w:val="18"/>
          <w:szCs w:val="18"/>
        </w:rPr>
        <w:t>junio</w:t>
      </w:r>
      <w:r w:rsidR="000F4D76" w:rsidRPr="000F4D76">
        <w:rPr>
          <w:rFonts w:ascii="Noto Sans" w:hAnsi="Noto Sans" w:cs="Noto Sans"/>
          <w:sz w:val="18"/>
          <w:szCs w:val="18"/>
        </w:rPr>
        <w:t xml:space="preserve"> de 2025 y 31 de diciembre de 2024 </w:t>
      </w:r>
      <w:r w:rsidRPr="000F4D76">
        <w:rPr>
          <w:rFonts w:ascii="Noto Sans" w:hAnsi="Noto Sans" w:cs="Noto Sans"/>
          <w:sz w:val="18"/>
          <w:szCs w:val="18"/>
        </w:rPr>
        <w:t xml:space="preserve">fue </w:t>
      </w:r>
      <w:r w:rsidRPr="00044795">
        <w:rPr>
          <w:rFonts w:ascii="Noto Sans" w:hAnsi="Noto Sans" w:cs="Noto Sans"/>
          <w:sz w:val="18"/>
          <w:szCs w:val="18"/>
        </w:rPr>
        <w:t xml:space="preserve">de </w:t>
      </w:r>
      <w:r w:rsidR="00471032">
        <w:rPr>
          <w:rFonts w:ascii="Noto Sans" w:hAnsi="Noto Sans" w:cs="Noto Sans"/>
          <w:sz w:val="18"/>
          <w:szCs w:val="18"/>
        </w:rPr>
        <w:t>18</w:t>
      </w:r>
      <w:r w:rsidR="00BB127B">
        <w:rPr>
          <w:rFonts w:ascii="Noto Sans" w:hAnsi="Noto Sans" w:cs="Noto Sans"/>
          <w:sz w:val="18"/>
          <w:szCs w:val="18"/>
        </w:rPr>
        <w:t>.8928</w:t>
      </w:r>
      <w:r w:rsidR="00F823ED" w:rsidRPr="00C746D1">
        <w:rPr>
          <w:rFonts w:ascii="Noto Sans" w:hAnsi="Noto Sans" w:cs="Noto Sans"/>
          <w:sz w:val="18"/>
          <w:szCs w:val="18"/>
        </w:rPr>
        <w:t xml:space="preserve"> </w:t>
      </w:r>
      <w:r w:rsidR="00E94F55">
        <w:rPr>
          <w:rFonts w:ascii="Noto Sans" w:hAnsi="Noto Sans" w:cs="Noto Sans"/>
          <w:sz w:val="18"/>
          <w:szCs w:val="18"/>
        </w:rPr>
        <w:t>pesos</w:t>
      </w:r>
      <w:r w:rsidR="00E94F55" w:rsidRPr="000973C0">
        <w:rPr>
          <w:rFonts w:ascii="Noto Sans" w:hAnsi="Noto Sans" w:cs="Noto Sans"/>
          <w:sz w:val="18"/>
          <w:szCs w:val="18"/>
        </w:rPr>
        <w:t xml:space="preserve"> </w:t>
      </w:r>
      <w:r w:rsidR="000F4D76" w:rsidRPr="000973C0">
        <w:rPr>
          <w:rFonts w:ascii="Noto Sans" w:hAnsi="Noto Sans" w:cs="Noto Sans"/>
          <w:sz w:val="18"/>
          <w:szCs w:val="18"/>
        </w:rPr>
        <w:t>y</w:t>
      </w:r>
      <w:r w:rsidR="00EB3F04" w:rsidRPr="000973C0">
        <w:rPr>
          <w:rFonts w:ascii="Noto Sans" w:hAnsi="Noto Sans" w:cs="Noto Sans"/>
          <w:sz w:val="18"/>
          <w:szCs w:val="18"/>
        </w:rPr>
        <w:t xml:space="preserve"> </w:t>
      </w:r>
      <w:r w:rsidR="00EB3F04" w:rsidRPr="00B607A0">
        <w:rPr>
          <w:rFonts w:ascii="Noto Sans" w:hAnsi="Noto Sans" w:cs="Noto Sans"/>
          <w:sz w:val="18"/>
          <w:szCs w:val="18"/>
        </w:rPr>
        <w:t>20.2683</w:t>
      </w:r>
      <w:r w:rsidR="000F4D76" w:rsidRPr="00B607A0">
        <w:rPr>
          <w:rFonts w:ascii="Noto Sans" w:hAnsi="Noto Sans" w:cs="Noto Sans"/>
          <w:sz w:val="18"/>
          <w:szCs w:val="18"/>
        </w:rPr>
        <w:t xml:space="preserve"> </w:t>
      </w:r>
      <w:r w:rsidRPr="00044795">
        <w:rPr>
          <w:rFonts w:ascii="Noto Sans" w:hAnsi="Noto Sans" w:cs="Noto Sans"/>
          <w:sz w:val="18"/>
          <w:szCs w:val="18"/>
        </w:rPr>
        <w:t>pesos, respectivamente por dólar americano, según la publicación del DOF.</w:t>
      </w:r>
      <w:r w:rsidR="00F823ED">
        <w:rPr>
          <w:rFonts w:ascii="Noto Sans" w:hAnsi="Noto Sans" w:cs="Noto Sans"/>
          <w:sz w:val="18"/>
          <w:szCs w:val="18"/>
        </w:rPr>
        <w:t xml:space="preserve">  </w:t>
      </w:r>
    </w:p>
    <w:p w14:paraId="2E406F7E" w14:textId="77777777" w:rsidR="00F51A75" w:rsidRPr="00044795" w:rsidRDefault="00F51A75" w:rsidP="0002360D">
      <w:pPr>
        <w:autoSpaceDE w:val="0"/>
        <w:autoSpaceDN w:val="0"/>
        <w:adjustRightInd w:val="0"/>
        <w:spacing w:after="0" w:line="240" w:lineRule="auto"/>
        <w:jc w:val="both"/>
        <w:rPr>
          <w:rFonts w:ascii="Noto Sans" w:hAnsi="Noto Sans" w:cs="Noto Sans"/>
          <w:sz w:val="18"/>
          <w:szCs w:val="18"/>
        </w:rPr>
      </w:pPr>
    </w:p>
    <w:p w14:paraId="351945DD" w14:textId="711CADCF" w:rsidR="0002360D" w:rsidRDefault="001F0B62" w:rsidP="00D06BE8">
      <w:pPr>
        <w:pStyle w:val="TEXTONORMAL"/>
        <w:numPr>
          <w:ilvl w:val="0"/>
          <w:numId w:val="83"/>
        </w:numPr>
        <w:ind w:left="357" w:hanging="357"/>
        <w:rPr>
          <w:rFonts w:cs="Noto Sans"/>
        </w:rPr>
      </w:pPr>
      <w:r>
        <w:rPr>
          <w:rFonts w:cs="Noto Sans"/>
        </w:rPr>
        <w:lastRenderedPageBreak/>
        <w:t xml:space="preserve">7. </w:t>
      </w:r>
      <w:r w:rsidR="0002360D" w:rsidRPr="00044795">
        <w:rPr>
          <w:rFonts w:cs="Noto Sans"/>
        </w:rPr>
        <w:t>Reporte Analítico del Activo</w:t>
      </w:r>
    </w:p>
    <w:p w14:paraId="2786E441" w14:textId="77777777" w:rsidR="00F06B3A" w:rsidRDefault="00F06B3A" w:rsidP="00F06B3A">
      <w:pPr>
        <w:pStyle w:val="TEXTONORMAL"/>
        <w:ind w:left="357"/>
        <w:rPr>
          <w:rFonts w:cs="Noto Sans"/>
        </w:rPr>
      </w:pPr>
    </w:p>
    <w:p w14:paraId="19B81BBB" w14:textId="5971010F" w:rsidR="00F51A75" w:rsidRPr="00F51A75" w:rsidRDefault="0002360D" w:rsidP="00F51A75">
      <w:pPr>
        <w:pStyle w:val="TEXTONORMAL"/>
        <w:numPr>
          <w:ilvl w:val="0"/>
          <w:numId w:val="84"/>
        </w:numPr>
        <w:ind w:left="714" w:hanging="357"/>
        <w:rPr>
          <w:rFonts w:cs="Noto Sans"/>
        </w:rPr>
      </w:pPr>
      <w:r w:rsidRPr="00044795">
        <w:rPr>
          <w:rFonts w:cs="Noto Sans"/>
        </w:rPr>
        <w:t>Otras inversiones permanentes</w:t>
      </w:r>
    </w:p>
    <w:p w14:paraId="1F9F5658" w14:textId="2622A2DE" w:rsidR="0002360D" w:rsidRPr="00044795" w:rsidRDefault="0002360D" w:rsidP="0002360D">
      <w:pPr>
        <w:pStyle w:val="Texto"/>
        <w:spacing w:after="120"/>
        <w:ind w:firstLine="0"/>
        <w:rPr>
          <w:rFonts w:ascii="Noto Sans" w:eastAsia="Batang" w:hAnsi="Noto Sans" w:cs="Noto Sans"/>
          <w:szCs w:val="18"/>
          <w:lang w:eastAsia="en-US"/>
        </w:rPr>
      </w:pPr>
      <w:r w:rsidRPr="00044795">
        <w:rPr>
          <w:rFonts w:ascii="Noto Sans" w:eastAsia="Batang" w:hAnsi="Noto Sans" w:cs="Noto Sans"/>
          <w:szCs w:val="18"/>
          <w:lang w:eastAsia="en-US"/>
        </w:rPr>
        <w:t>A continuación, se indican las explicaciones de las principales variaciones en las inversiones en valores</w:t>
      </w:r>
      <w:r w:rsidR="008C235E">
        <w:rPr>
          <w:rFonts w:ascii="Noto Sans" w:eastAsia="Batang" w:hAnsi="Noto Sans" w:cs="Noto Sans"/>
          <w:szCs w:val="18"/>
          <w:lang w:eastAsia="en-US"/>
        </w:rPr>
        <w:t>:</w:t>
      </w:r>
    </w:p>
    <w:p w14:paraId="3EC039F2" w14:textId="628B268F" w:rsidR="0002360D" w:rsidRPr="00A1251E" w:rsidRDefault="0002360D" w:rsidP="00A1251E">
      <w:pPr>
        <w:pStyle w:val="Texto"/>
        <w:spacing w:after="120"/>
        <w:ind w:firstLine="0"/>
        <w:rPr>
          <w:rFonts w:ascii="Noto Sans" w:eastAsia="Calibri" w:hAnsi="Noto Sans" w:cs="Noto Sans"/>
          <w:szCs w:val="22"/>
          <w:lang w:val="es-MX" w:eastAsia="en-US"/>
        </w:rPr>
      </w:pPr>
      <w:r w:rsidRPr="00A1251E">
        <w:rPr>
          <w:rFonts w:ascii="Noto Sans" w:hAnsi="Noto Sans" w:cs="Noto Sans"/>
        </w:rPr>
        <w:t>Otras inversiones permanentes que el Instituto tiene es la Afore XXI Banorte, S.A. de C.V. (Afore XXI) al</w:t>
      </w:r>
      <w:r w:rsidR="001F508B">
        <w:rPr>
          <w:rFonts w:ascii="Noto Sans" w:hAnsi="Noto Sans" w:cs="Noto Sans"/>
        </w:rPr>
        <w:t xml:space="preserve"> </w:t>
      </w:r>
      <w:r w:rsidR="00FE261B">
        <w:rPr>
          <w:rFonts w:ascii="Noto Sans" w:hAnsi="Noto Sans" w:cs="Noto Sans"/>
        </w:rPr>
        <w:t>30</w:t>
      </w:r>
      <w:r w:rsidR="001F508B" w:rsidRPr="001F508B">
        <w:rPr>
          <w:rFonts w:ascii="Noto Sans" w:hAnsi="Noto Sans" w:cs="Noto Sans"/>
        </w:rPr>
        <w:t xml:space="preserve"> de </w:t>
      </w:r>
      <w:r w:rsidR="00FE261B">
        <w:rPr>
          <w:rFonts w:ascii="Noto Sans" w:hAnsi="Noto Sans" w:cs="Noto Sans"/>
        </w:rPr>
        <w:t>junio</w:t>
      </w:r>
      <w:r w:rsidR="001F508B" w:rsidRPr="001F508B">
        <w:rPr>
          <w:rFonts w:ascii="Noto Sans" w:hAnsi="Noto Sans" w:cs="Noto Sans"/>
        </w:rPr>
        <w:t xml:space="preserve"> de 2025</w:t>
      </w:r>
      <w:r w:rsidR="001F508B">
        <w:rPr>
          <w:rFonts w:ascii="Noto Sans" w:hAnsi="Noto Sans" w:cs="Noto Sans"/>
        </w:rPr>
        <w:t xml:space="preserve"> y</w:t>
      </w:r>
      <w:r w:rsidRPr="00A1251E">
        <w:rPr>
          <w:rFonts w:ascii="Noto Sans" w:hAnsi="Noto Sans" w:cs="Noto Sans"/>
        </w:rPr>
        <w:t xml:space="preserve"> 31 de diciembre de 2024, se consideran como inversiones en asociadas, ya que el Instituto no posee control de estas. La inversión en asociadas se valúa inicialmente a su costo </w:t>
      </w:r>
      <w:r w:rsidRPr="00A1251E">
        <w:rPr>
          <w:rFonts w:ascii="Noto Sans" w:eastAsia="Calibri" w:hAnsi="Noto Sans" w:cs="Noto Sans"/>
          <w:szCs w:val="22"/>
          <w:lang w:val="es-MX" w:eastAsia="en-US"/>
        </w:rPr>
        <w:t>de adquisición y posteriormente, utilizando el método de participación, a través del cual se reconoce la participación en los resultados y en el patrimonio.</w:t>
      </w:r>
    </w:p>
    <w:p w14:paraId="6F7BD9CB" w14:textId="77777777" w:rsidR="0002360D" w:rsidRPr="00044795" w:rsidRDefault="0002360D" w:rsidP="00A1251E">
      <w:pPr>
        <w:pStyle w:val="Texto"/>
        <w:spacing w:after="120"/>
        <w:ind w:firstLine="0"/>
        <w:rPr>
          <w:rFonts w:cs="Noto Sans"/>
        </w:rPr>
      </w:pPr>
      <w:r w:rsidRPr="00A1251E">
        <w:rPr>
          <w:rFonts w:ascii="Noto Sans" w:eastAsia="Calibri" w:hAnsi="Noto Sans" w:cs="Noto Sans"/>
          <w:szCs w:val="22"/>
          <w:lang w:val="es-MX" w:eastAsia="en-US"/>
        </w:rPr>
        <w:t>El crédito mercantil que le es relativo</w:t>
      </w:r>
      <w:r w:rsidRPr="00A1251E">
        <w:rPr>
          <w:rFonts w:ascii="Noto Sans" w:hAnsi="Noto Sans" w:cs="Noto Sans"/>
        </w:rPr>
        <w:t xml:space="preserve"> a la inversión en Afore XXI Banorte, S.A. de C.V., se presenta formando parte de la inversión permanente. En caso de presentarse indicios de deterioro, las pruebas de deterioro considerarían a la inversión en la asociada; así como, al crédito mercantil que le es relativo</w:t>
      </w:r>
      <w:r w:rsidRPr="00044795">
        <w:rPr>
          <w:rFonts w:cs="Noto Sans"/>
        </w:rPr>
        <w:t>.</w:t>
      </w:r>
    </w:p>
    <w:p w14:paraId="26BE65D1" w14:textId="77777777" w:rsidR="002B5C20" w:rsidRPr="00C4738D" w:rsidRDefault="002B5C20" w:rsidP="002B5C20">
      <w:pPr>
        <w:pStyle w:val="TEXTONORMAL"/>
        <w:numPr>
          <w:ilvl w:val="0"/>
          <w:numId w:val="84"/>
        </w:numPr>
        <w:ind w:left="714" w:hanging="357"/>
        <w:rPr>
          <w:rFonts w:cs="Noto Sans"/>
        </w:rPr>
      </w:pPr>
      <w:r w:rsidRPr="00C4738D">
        <w:rPr>
          <w:rFonts w:cs="Noto Sans"/>
        </w:rPr>
        <w:t>Intereses</w:t>
      </w:r>
    </w:p>
    <w:p w14:paraId="7154C1F0" w14:textId="77777777" w:rsidR="002B5C20" w:rsidRPr="00FF453E" w:rsidRDefault="002B5C20" w:rsidP="002B5C20">
      <w:pPr>
        <w:pStyle w:val="TEXTONORMAL"/>
        <w:spacing w:after="0"/>
        <w:rPr>
          <w:sz w:val="20"/>
          <w:szCs w:val="20"/>
        </w:rPr>
      </w:pPr>
      <w:r w:rsidRPr="00FF453E">
        <w:rPr>
          <w:sz w:val="20"/>
          <w:szCs w:val="20"/>
        </w:rPr>
        <w:t>Los ingresos por este concepto se registran cuando los rendimientos que provienen de las inversiones se devengan conforme a los contratos correspondientes.</w:t>
      </w:r>
    </w:p>
    <w:p w14:paraId="7D5F3BA0" w14:textId="77777777" w:rsidR="0002360D" w:rsidRPr="00FA2219" w:rsidRDefault="0002360D" w:rsidP="0002360D">
      <w:pPr>
        <w:pStyle w:val="TEXTONORMAL"/>
        <w:rPr>
          <w:rFonts w:cs="Noto Sans"/>
          <w:szCs w:val="18"/>
        </w:rPr>
      </w:pPr>
    </w:p>
    <w:p w14:paraId="497F6522" w14:textId="77777777" w:rsidR="0002360D" w:rsidRPr="00C4738D" w:rsidRDefault="0002360D" w:rsidP="00D06BE8">
      <w:pPr>
        <w:pStyle w:val="TEXTONORMAL"/>
        <w:numPr>
          <w:ilvl w:val="0"/>
          <w:numId w:val="85"/>
        </w:numPr>
        <w:ind w:left="714" w:hanging="357"/>
      </w:pPr>
      <w:r w:rsidRPr="00C4738D">
        <w:t xml:space="preserve">Depreciación </w:t>
      </w:r>
    </w:p>
    <w:p w14:paraId="35E8F9D2" w14:textId="0E7E4873" w:rsidR="0002360D" w:rsidRDefault="0002360D" w:rsidP="0002360D">
      <w:pPr>
        <w:pStyle w:val="TEXTONORMAL"/>
      </w:pPr>
      <w:r w:rsidRPr="00B66944">
        <w:t>Para la depreciación del ejercicio 202</w:t>
      </w:r>
      <w:r>
        <w:t>4</w:t>
      </w:r>
      <w:r w:rsidRPr="00B66944">
        <w:t xml:space="preserve"> y </w:t>
      </w:r>
      <w:r w:rsidR="00F06B3A">
        <w:t xml:space="preserve">lo que va del </w:t>
      </w:r>
      <w:r w:rsidRPr="00B66944">
        <w:t>202</w:t>
      </w:r>
      <w:r w:rsidR="00F06B3A">
        <w:t>5</w:t>
      </w:r>
      <w:r w:rsidRPr="00B66944">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w:t>
      </w:r>
      <w:r>
        <w:t xml:space="preserve">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45C4C8C7" w14:textId="77777777" w:rsidR="0002360D" w:rsidRPr="00543195" w:rsidRDefault="0002360D" w:rsidP="00D06BE8">
      <w:pPr>
        <w:pStyle w:val="TEXTONORMAL"/>
        <w:numPr>
          <w:ilvl w:val="0"/>
          <w:numId w:val="85"/>
        </w:numPr>
        <w:ind w:left="714" w:hanging="357"/>
      </w:pPr>
      <w:r w:rsidRPr="00543195">
        <w:t>Instrumentos financieros</w:t>
      </w:r>
    </w:p>
    <w:p w14:paraId="29574BD1" w14:textId="77777777" w:rsidR="0002360D" w:rsidRPr="008B4B22" w:rsidRDefault="0002360D" w:rsidP="0002360D">
      <w:pPr>
        <w:pStyle w:val="Texto"/>
        <w:spacing w:after="120"/>
        <w:ind w:firstLine="0"/>
        <w:rPr>
          <w:rFonts w:ascii="Noto Sans" w:eastAsia="Calibri" w:hAnsi="Noto Sans" w:cs="Times New Roman"/>
          <w:szCs w:val="22"/>
          <w:lang w:val="es-MX" w:eastAsia="en-US"/>
        </w:rPr>
      </w:pPr>
      <w:r w:rsidRPr="008B4B22">
        <w:rPr>
          <w:rFonts w:ascii="Noto Sans" w:eastAsia="Calibri" w:hAnsi="Noto Sans" w:cs="Times New Roman"/>
          <w:szCs w:val="22"/>
          <w:lang w:val="es-MX" w:eastAsia="en-US"/>
        </w:rPr>
        <w:t>La NIF C-2, “Inversión en instrumentos financieros”, vigente a partir del 1 de enero de 2018 cambia la clasificación de los instrumentos financieros (IF). Se descarta el concepto de “intención de adquisición y utilización” de una inversión en un IF para determinar su clasificación y se establece el concepto de modelo de negocio de la administración de las inversiones de un IF para obtener flujos de efectivo (obtener un rendimiento contractual de un IF, el cobro de rendimientos contractuales y/o venta u obtener utilidades por su compraventa), con el objeto de clasificar los diversos IF. La nueva clasificación de los activos de IF es la siguiente:</w:t>
      </w:r>
    </w:p>
    <w:p w14:paraId="15045C62" w14:textId="77777777" w:rsidR="0002360D" w:rsidRPr="008B4B22" w:rsidRDefault="0002360D" w:rsidP="0002360D">
      <w:pPr>
        <w:pStyle w:val="Texto"/>
        <w:spacing w:after="120"/>
        <w:ind w:firstLine="0"/>
        <w:rPr>
          <w:rFonts w:ascii="Noto Sans" w:eastAsia="Calibri" w:hAnsi="Noto Sans" w:cs="Times New Roman"/>
          <w:szCs w:val="22"/>
          <w:lang w:val="es-MX" w:eastAsia="en-US"/>
        </w:rPr>
      </w:pPr>
      <w:r w:rsidRPr="008B4B22">
        <w:rPr>
          <w:rFonts w:ascii="Noto Sans" w:eastAsia="Calibri" w:hAnsi="Noto Sans" w:cs="Times New Roman"/>
          <w:szCs w:val="22"/>
          <w:lang w:val="es-MX" w:eastAsia="en-US"/>
        </w:rPr>
        <w:t>Instrumento Financiero por Cobrar Principal e Interés (IFCPI), cuyo objetivo es cobrar flujos de efectivo contractuales. Conforme al contrato prevén flujos de efectivo en fechas prestablecidas que corresponden solo a pagos de principal e interés sobre el monto del principal pendiente de pago. Por lo anterior, el IFCPI debe de tener características de un financiamiento y administrarse con base en su rendimiento contractual. Su efecto de valuación se aplica a la utilidad o pérdida neta (UPN).</w:t>
      </w:r>
    </w:p>
    <w:p w14:paraId="6358CBB4" w14:textId="77777777" w:rsidR="0002360D" w:rsidRDefault="0002360D" w:rsidP="0002360D">
      <w:pPr>
        <w:pStyle w:val="TEXTONORMAL"/>
      </w:pPr>
      <w:r w:rsidRPr="00427FB0">
        <w:t xml:space="preserve">Instrumento Financiero para Cobrar o Vender (IFCV), cuyo objetivo es cobrar los flujos de efectivo contractuales por cobros de principal e interés, o bien, obtener una utilidad en su venta, cuando </w:t>
      </w:r>
      <w:r>
        <w:t>e</w:t>
      </w:r>
      <w:r w:rsidRPr="00427FB0">
        <w:t>sta sea conveniente. (Su efecto de valuación se aplica a los otros resultados integrales (ORI) - excepto los efectos derivados de intereses devengados, deterioro, conversión de su unidad de medición: moneda extranjera, UDIS, los cuales se aplican a la utilidad o pérdida neta (UPN).</w:t>
      </w:r>
    </w:p>
    <w:p w14:paraId="608BA9C1" w14:textId="77777777" w:rsidR="0002360D" w:rsidRPr="00427FB0" w:rsidRDefault="0002360D" w:rsidP="0002360D">
      <w:pPr>
        <w:pStyle w:val="TEXTONORMAL"/>
      </w:pPr>
      <w:r w:rsidRPr="00427FB0">
        <w:lastRenderedPageBreak/>
        <w:t xml:space="preserve">Instrumentos Financieros Negociables (IFN), cuyo objeto es invertir con el propósito de obtener una utilidad entre el precio de compra y el de venta, o sea en función de la administración de los riesgos de mercado de dicho instrumento. Su efecto de valuación se aplica a la utilidad o pérdida neta (UPN). </w:t>
      </w:r>
    </w:p>
    <w:p w14:paraId="68FC4A7F" w14:textId="0676BFDF" w:rsidR="0002360D" w:rsidRDefault="0002360D" w:rsidP="0002360D">
      <w:pPr>
        <w:pStyle w:val="TEXTONORMAL"/>
      </w:pPr>
      <w:r>
        <w:t xml:space="preserve">Con base en esta nueva clasificación los IF que el Instituto mantiene, serán valuados y reconocidos conforme a lo siguiente:  </w:t>
      </w:r>
    </w:p>
    <w:p w14:paraId="31C2CDDE" w14:textId="77777777" w:rsidR="0002360D" w:rsidRPr="00427FB0" w:rsidRDefault="0002360D" w:rsidP="0002360D">
      <w:pPr>
        <w:pStyle w:val="TEXTONORMAL"/>
      </w:pPr>
      <w:r w:rsidRPr="00427FB0">
        <w:t xml:space="preserve">Los IFCPI se valúan a costo amortizado que considera el valor presente de los flujos de efectivo contractuales por cobrar más los costos de la transacción por amortizar, utilizando el método de interés efectivo, afectando la utilidad o pérdida neta. </w:t>
      </w:r>
    </w:p>
    <w:p w14:paraId="19608E6C" w14:textId="77777777" w:rsidR="0002360D" w:rsidRDefault="0002360D" w:rsidP="0002360D">
      <w:pPr>
        <w:pStyle w:val="TEXTONORMAL"/>
      </w:pPr>
      <w:r w:rsidRPr="00427FB0">
        <w:t xml:space="preserve">Los IFCV están valuados inicialmente a su costo amortizado con base en la tasa de interés efectiva afectando la utilidad o pérdida neta y su valuación posterior se realiza a valor razonable afectando los ORI.  </w:t>
      </w:r>
    </w:p>
    <w:p w14:paraId="284497BB" w14:textId="77777777" w:rsidR="0002360D" w:rsidRPr="00427FB0" w:rsidRDefault="0002360D" w:rsidP="0002360D">
      <w:pPr>
        <w:pStyle w:val="TEXTONORMAL"/>
      </w:pPr>
      <w:r w:rsidRPr="00427FB0">
        <w:t>Para los</w:t>
      </w:r>
      <w:r>
        <w:t xml:space="preserve"> dos casos anteriores se</w:t>
      </w:r>
      <w:r w:rsidRPr="00427FB0">
        <w:t xml:space="preserve"> resta la estimación por pérdidas crediticias esperadas.</w:t>
      </w:r>
    </w:p>
    <w:p w14:paraId="6A7DBA3F" w14:textId="77777777" w:rsidR="0002360D" w:rsidRPr="00427FB0" w:rsidRDefault="0002360D" w:rsidP="0002360D">
      <w:pPr>
        <w:pStyle w:val="TEXTONORMAL"/>
      </w:pPr>
      <w:r w:rsidRPr="00427FB0">
        <w:t xml:space="preserve">Los IFN se valúan como sigue: Los costos de transacción se aplican a los resultados al momento de realizarlos y su medición inicial es al costo; con posterioridad se valúan a valor razonable con cambios en la utilidad o pérdida neta. </w:t>
      </w:r>
    </w:p>
    <w:p w14:paraId="745EF081" w14:textId="77777777" w:rsidR="0002360D" w:rsidRDefault="0002360D" w:rsidP="0002360D">
      <w:pPr>
        <w:pStyle w:val="TEXTONORMAL"/>
      </w:pPr>
      <w:r w:rsidRPr="00427FB0">
        <w:t>Las inversiones en instrumentos financieros en el Instituto están representadas por bonos Corporativos, Bancarios y Gubernamentales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actividades conforme se devengan, en el caso de las inversiones para cobrar o vender la plusvalía y/o minusvalía se reconoce en una cuenta de patrimonio y en cuentas complementarias de activo.</w:t>
      </w:r>
    </w:p>
    <w:p w14:paraId="174FFD90" w14:textId="681DB24C" w:rsidR="00F51A75" w:rsidRPr="00427FB0" w:rsidRDefault="0002360D" w:rsidP="0002360D">
      <w:pPr>
        <w:pStyle w:val="TEXTONORMAL"/>
      </w:pPr>
      <w:r w:rsidRPr="00427FB0">
        <w:t xml:space="preserve">El rubro de instrumentos financieros, con fundamento en la LSS, se compone de cuatro reservas y un fondo laboral, </w:t>
      </w:r>
      <w:r>
        <w:t>este último</w:t>
      </w:r>
      <w:r w:rsidRPr="00427FB0">
        <w:t xml:space="preserve">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para la Inversión del Fondo para el Cumplimiento de Obligaciones Laborales de Carácter Legal o Contractual, por las Políticas y Directrices para la Inversión de las Reservas Operativas y la Reserva de Operación para Contingencias y Financiamiento y el Reglamento de la LSS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14:paraId="46A86033" w14:textId="77777777" w:rsidR="0002360D" w:rsidRDefault="0002360D" w:rsidP="0002360D">
      <w:pPr>
        <w:pStyle w:val="TEXTONORMAL"/>
      </w:pPr>
      <w:r w:rsidRPr="00427FB0">
        <w:t>En términos generales, los métodos o supuestos significativos usados para determinar el valor razonable de los instrumentos financieros se basan en la obtención de vectores proporcionados por el proveedor de precios “</w:t>
      </w:r>
      <w:proofErr w:type="spellStart"/>
      <w:r w:rsidRPr="00427FB0">
        <w:t>Valmer</w:t>
      </w:r>
      <w:proofErr w:type="spellEnd"/>
      <w:r w:rsidRPr="00427FB0">
        <w:t xml:space="preserve">, S.A. de C.V.”, los cuales dieron como resultado una medida apropiada de valor razonable de mercado para propósitos de medición y revelación en los </w:t>
      </w:r>
      <w:r>
        <w:t>Estados Financieros</w:t>
      </w:r>
      <w:r w:rsidRPr="00427FB0">
        <w:t>.</w:t>
      </w:r>
    </w:p>
    <w:p w14:paraId="447F5094" w14:textId="77777777" w:rsidR="0002360D" w:rsidRDefault="0002360D" w:rsidP="0002360D">
      <w:pPr>
        <w:pStyle w:val="TEXTONORMAL"/>
      </w:pPr>
      <w:r>
        <w:t>Con base en el</w:t>
      </w:r>
      <w:r w:rsidRPr="00427FB0">
        <w:t xml:space="preserve"> MCGSPF los instrumentos financieros con plazo menor de un año se presentan en el activo circulante</w:t>
      </w:r>
      <w:r>
        <w:t xml:space="preserve">, aquellas con plazo mayor a un año se presentan en el activo no circulante, </w:t>
      </w:r>
      <w:r w:rsidRPr="00427FB0">
        <w:t>como se indica a continuación:</w:t>
      </w:r>
    </w:p>
    <w:p w14:paraId="6343259D" w14:textId="77777777" w:rsidR="0002360D" w:rsidRPr="00427FB0" w:rsidRDefault="0002360D" w:rsidP="00D06BE8">
      <w:pPr>
        <w:pStyle w:val="TEXTONORMAL"/>
        <w:numPr>
          <w:ilvl w:val="0"/>
          <w:numId w:val="86"/>
        </w:numPr>
        <w:ind w:left="998" w:hanging="284"/>
      </w:pPr>
      <w:r w:rsidRPr="00427FB0">
        <w:t>En “Inversiones Temporales” aquellas cuya recuperación se efectuará en un plazo inferior a tres meses.</w:t>
      </w:r>
    </w:p>
    <w:p w14:paraId="2206EECC" w14:textId="77777777" w:rsidR="0002360D" w:rsidRDefault="0002360D" w:rsidP="00D06BE8">
      <w:pPr>
        <w:pStyle w:val="TEXTONORMAL"/>
        <w:numPr>
          <w:ilvl w:val="0"/>
          <w:numId w:val="86"/>
        </w:numPr>
        <w:ind w:left="998" w:hanging="284"/>
      </w:pPr>
      <w:r w:rsidRPr="00427FB0">
        <w:t>En “Inversiones Financieras de Corto Plazo” aquellas cuya recuperación se efectuará en un plazo mayor a tres meses y menor o igual a doce meses.</w:t>
      </w:r>
    </w:p>
    <w:p w14:paraId="7F03DE20" w14:textId="77777777" w:rsidR="0002360D" w:rsidRDefault="0002360D" w:rsidP="00D06BE8">
      <w:pPr>
        <w:pStyle w:val="TEXTONORMAL"/>
        <w:numPr>
          <w:ilvl w:val="0"/>
          <w:numId w:val="86"/>
        </w:numPr>
        <w:ind w:left="998" w:hanging="284"/>
      </w:pPr>
      <w:r w:rsidRPr="00427FB0">
        <w:t>Las “Inversiones Financieras a Largo Plazo” son aquellas cuya recuperación se efectuará en un plazo mayor a doce meses</w:t>
      </w:r>
      <w:r>
        <w:t>.</w:t>
      </w:r>
    </w:p>
    <w:p w14:paraId="30C2832B" w14:textId="77777777" w:rsidR="0002360D" w:rsidRDefault="0002360D" w:rsidP="0002360D">
      <w:pPr>
        <w:pStyle w:val="TEXTONORMAL"/>
        <w:spacing w:after="0"/>
      </w:pPr>
      <w:r>
        <w:lastRenderedPageBreak/>
        <w:t xml:space="preserve">Los </w:t>
      </w:r>
      <w:r w:rsidRPr="00C57DFE">
        <w:t>ingresos por intereses</w:t>
      </w:r>
      <w:r>
        <w:t xml:space="preserve"> se registran cuando los rendimientos que provienen de las inversiones se devengan conforme a los contratos correspondientes.</w:t>
      </w:r>
    </w:p>
    <w:p w14:paraId="312EDEB7" w14:textId="77777777" w:rsidR="0002360D" w:rsidRDefault="0002360D" w:rsidP="0002360D">
      <w:pPr>
        <w:pStyle w:val="TEXTONORMAL"/>
        <w:spacing w:after="0"/>
      </w:pPr>
    </w:p>
    <w:p w14:paraId="1EFF92E8" w14:textId="77777777" w:rsidR="0002360D" w:rsidRPr="00467226" w:rsidRDefault="0002360D" w:rsidP="00D06BE8">
      <w:pPr>
        <w:pStyle w:val="TEXTONORMAL"/>
        <w:numPr>
          <w:ilvl w:val="0"/>
          <w:numId w:val="87"/>
        </w:numPr>
        <w:ind w:left="714" w:hanging="357"/>
        <w:rPr>
          <w:rFonts w:cs="Noto Sans"/>
        </w:rPr>
      </w:pPr>
      <w:r w:rsidRPr="00467226">
        <w:rPr>
          <w:rFonts w:cs="Noto Sans"/>
        </w:rPr>
        <w:t>Riesgos por tipo de cambio o tipo de interés de las inversiones financieras.</w:t>
      </w:r>
    </w:p>
    <w:p w14:paraId="4DB392B1" w14:textId="77777777" w:rsidR="0002360D" w:rsidRPr="00F97A53" w:rsidRDefault="0002360D" w:rsidP="0002360D">
      <w:pPr>
        <w:pStyle w:val="TEXTONORMAL"/>
        <w:rPr>
          <w:rFonts w:cs="Noto Sans"/>
        </w:rPr>
      </w:pPr>
      <w:r w:rsidRPr="00F97A53">
        <w:rPr>
          <w:rFonts w:cs="Noto Sans"/>
        </w:rPr>
        <w:t xml:space="preserve">Para mantener un balance adecuado entre el rendimiento y el riesgo de los portafolios de inversión institucionales, se procura la diversificación de las inversiones que conforman cada una de las reservas y subcuentas del Fondo Laboral de acuerdo con el régimen de inversión establecido para cada una de ellas, el cual es acorde con los objetivos de creación y naturaleza de sus obligaciones. </w:t>
      </w:r>
    </w:p>
    <w:p w14:paraId="7D0F63EB" w14:textId="77777777" w:rsidR="0002360D" w:rsidRPr="001029E5" w:rsidRDefault="0002360D" w:rsidP="0002360D">
      <w:pPr>
        <w:pStyle w:val="TEXTONORMAL"/>
      </w:pPr>
      <w:r w:rsidRPr="00C277C5">
        <w:t>Las Políticas y Directrices para la inversión de las Reservas y Fondo Laboral (Políticas y Directrices),</w:t>
      </w:r>
      <w:r w:rsidR="00BF6E11">
        <w:t xml:space="preserve"> </w:t>
      </w:r>
      <w:r w:rsidRPr="00C277C5">
        <w:t>aprobadas el 24 de septiembre de 2024, establecen el marco normativo para la inversión y administración de riesgos. Conforme a las mismas, se estiman, miden y gestionan los riesgos de mercado y crédito de los portafolios institucionales, utilizando la métrica Valor en Riesgo (VaR); para el primero, a través de la estimación diaria de la pérdida potencial a valor de mercado de las reservas y subcuentas, ante cambios en los factores de riesgo (tasas de interés, tipo de cambio, precios, entre otros); para el segundo, se calcula el VaR de crédito utilizando las matrices de probabilidad</w:t>
      </w:r>
      <w:r>
        <w:t xml:space="preserve"> de </w:t>
      </w:r>
      <w:r w:rsidRPr="001029E5">
        <w:t xml:space="preserve">incumplimiento basadas en las calificaciones de los emisores o emisiones, complementando con el análisis fundamental de los mismos a partir de la información reportada en sus estados financieros. </w:t>
      </w:r>
    </w:p>
    <w:p w14:paraId="5279237C" w14:textId="77777777" w:rsidR="0002360D" w:rsidRPr="001029E5" w:rsidRDefault="0002360D" w:rsidP="0002360D">
      <w:pPr>
        <w:pStyle w:val="TEXTONORMAL"/>
      </w:pPr>
      <w:r w:rsidRPr="001029E5">
        <w:t xml:space="preserve">Como parte de las herramientas para fortalecer la administración del riesgo, al menos de forma trimestral se elaboran dos tipos de pruebas de estrés: la primera, de riesgo de mercado, que se aplica tanto a las reservas y subcuentas del Fondo Laboral como a los mandatos de inversión, con el propósito de simular distintos escenarios para cuantificar los impactos producidos en los factores de riesgo (tasas de interés, volatilidad, tipos de cambio, precios, entre otros); y la segunda, de riesgo de crédito, que se basa en migrar las calificaciones crediticias asignadas por las agencias calificadoras de valores desde origen a niveles inferiores en los instrumentos de deuda no gubernamental, con el fin de acotar las pérdidas potenciales por el incumplimiento de pago de los emisores y de las contrapartes asociadas en las operaciones de inversión de los portafolios institucionales (con excepción de las Reservas Operativas, en términos de las Políticas y Directrices). </w:t>
      </w:r>
    </w:p>
    <w:p w14:paraId="69FF56A7" w14:textId="475D3AD9" w:rsidR="00FD1D64" w:rsidRDefault="0002360D" w:rsidP="0002360D">
      <w:pPr>
        <w:pStyle w:val="TEXTONORMAL"/>
      </w:pPr>
      <w:r w:rsidRPr="001029E5">
        <w:t>Adicionalmente, se vigila diariamente el cumplimiento del régimen de inversión de cada una de las reservas y subcuentas del Fondo Laboral, para monitorear el consumo en los límites de inversión establecidos por clase de activo y por niveles de calificación crediticia, a fin de prevenir e identificar posibles excesos en los mismos</w:t>
      </w:r>
      <w:r>
        <w:t>.</w:t>
      </w:r>
    </w:p>
    <w:p w14:paraId="5B4F08FD" w14:textId="77777777" w:rsidR="001948C4" w:rsidRDefault="001948C4" w:rsidP="0002360D">
      <w:pPr>
        <w:pStyle w:val="TEXTONORMAL"/>
      </w:pPr>
    </w:p>
    <w:p w14:paraId="6C574D58" w14:textId="77777777" w:rsidR="0002360D" w:rsidRDefault="0002360D" w:rsidP="00D06BE8">
      <w:pPr>
        <w:pStyle w:val="TEXTONORMAL"/>
        <w:numPr>
          <w:ilvl w:val="0"/>
          <w:numId w:val="87"/>
        </w:numPr>
        <w:ind w:left="714" w:hanging="357"/>
        <w:rPr>
          <w:rFonts w:cs="Noto Sans"/>
        </w:rPr>
      </w:pPr>
      <w:r w:rsidRPr="001F0B62">
        <w:rPr>
          <w:rFonts w:cs="Noto Sans"/>
        </w:rPr>
        <w:t>Estimación por Pérdida o Deterioro de Activos</w:t>
      </w:r>
    </w:p>
    <w:p w14:paraId="6C3F085A" w14:textId="77777777" w:rsidR="0002360D" w:rsidRPr="00543195" w:rsidRDefault="0002360D" w:rsidP="00D06BE8">
      <w:pPr>
        <w:pStyle w:val="TEXTONORMAL"/>
        <w:numPr>
          <w:ilvl w:val="0"/>
          <w:numId w:val="86"/>
        </w:numPr>
        <w:ind w:left="998" w:hanging="284"/>
      </w:pPr>
      <w:r w:rsidRPr="00543195">
        <w:t>Estimación de cuentas de cobro dudoso de cuotas obrero-patronales</w:t>
      </w:r>
    </w:p>
    <w:p w14:paraId="49304760" w14:textId="77777777" w:rsidR="0002360D" w:rsidRDefault="0002360D" w:rsidP="0002360D">
      <w:pPr>
        <w:pStyle w:val="TEXTONORMAL"/>
      </w:pPr>
      <w:r>
        <w:t>El Instituto tiene la política de establecer una estimación para cuotas obrero-patronales por cobros de dudosa recuperación, calculada sobre el 1.25% sobre la emisión mensual anticipada de las cuotas obrero-patronales. Adicionalmente, el importe de la provisión para cuentas incobrables así determinado se ajusta al importe de las cuentas por cobrar a patrones con antigüedad superior a 5 años que no tienen garantías o convenios, y aquellas que tienen antigüedad menor a 5 años que presentan problemas específicos de cobro.</w:t>
      </w:r>
    </w:p>
    <w:p w14:paraId="5C2F1041" w14:textId="77777777" w:rsidR="0002360D" w:rsidRDefault="0002360D" w:rsidP="0002360D">
      <w:pPr>
        <w:pStyle w:val="TEXTONORMAL"/>
      </w:pPr>
      <w:r>
        <w:t>Cuando el Consejo Consultivo del OOAD autoriza la cancelación de cuentas por cobrar, estas se aplican contra la estimación para multas y cuotas obrero-patronales.</w:t>
      </w:r>
    </w:p>
    <w:p w14:paraId="6B5F01FE" w14:textId="77777777" w:rsidR="009C49D6" w:rsidRDefault="009C49D6" w:rsidP="0002360D">
      <w:pPr>
        <w:pStyle w:val="TEXTONORMAL"/>
      </w:pPr>
    </w:p>
    <w:p w14:paraId="148F7A6A" w14:textId="77777777" w:rsidR="0002360D" w:rsidRPr="00543195" w:rsidRDefault="0002360D" w:rsidP="00D06BE8">
      <w:pPr>
        <w:pStyle w:val="TEXTONORMAL"/>
        <w:numPr>
          <w:ilvl w:val="0"/>
          <w:numId w:val="86"/>
        </w:numPr>
        <w:ind w:left="998" w:hanging="284"/>
      </w:pPr>
      <w:r w:rsidRPr="00543195">
        <w:lastRenderedPageBreak/>
        <w:t>Estimación de cuentas de cobro dudoso de multas</w:t>
      </w:r>
    </w:p>
    <w:p w14:paraId="5F57DE17" w14:textId="77777777" w:rsidR="0002360D" w:rsidRDefault="0002360D" w:rsidP="0002360D">
      <w:pPr>
        <w:pStyle w:val="TEXTONORMAL"/>
      </w:pPr>
      <w:r>
        <w:t>El Instituto tiene la política de constituir una provisión para multas por cuotas obrero-patronales por cobrar, la cual es calculada aplicando un porcentaje del 70% sobre el saldo de dichas multas.</w:t>
      </w:r>
    </w:p>
    <w:p w14:paraId="0E683608" w14:textId="77777777" w:rsidR="000620DC" w:rsidRDefault="000620DC" w:rsidP="0002360D">
      <w:pPr>
        <w:pStyle w:val="TEXTONORMAL"/>
      </w:pPr>
    </w:p>
    <w:p w14:paraId="48F0114A" w14:textId="77777777" w:rsidR="0002360D" w:rsidRPr="001F0B62" w:rsidRDefault="0002360D" w:rsidP="00D06BE8">
      <w:pPr>
        <w:pStyle w:val="TEXTONORMAL"/>
        <w:numPr>
          <w:ilvl w:val="0"/>
          <w:numId w:val="87"/>
        </w:numPr>
        <w:ind w:left="714" w:hanging="357"/>
        <w:rPr>
          <w:rFonts w:cs="Noto Sans"/>
        </w:rPr>
      </w:pPr>
      <w:r w:rsidRPr="001F0B62">
        <w:rPr>
          <w:rFonts w:cs="Noto Sans"/>
        </w:rPr>
        <w:t>Bienes muebles e inmuebles, infraestructura y construcciones en proceso</w:t>
      </w:r>
    </w:p>
    <w:p w14:paraId="3CD4242B" w14:textId="77777777" w:rsidR="0002360D" w:rsidRDefault="0002360D" w:rsidP="0002360D">
      <w:pPr>
        <w:pStyle w:val="TEXTONORMAL"/>
      </w:pPr>
      <w:r>
        <w:t>Los inmuebles con base al artículo 285 de la LSS, se considerarán destinados al servicio público de carácter nacional del Seguro Social y tendrán el carácter de bienes del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 Los inmuebles adquiridos hasta 1997 se reconocen a un valor determinado por avalúo.</w:t>
      </w:r>
    </w:p>
    <w:p w14:paraId="317C48C2" w14:textId="2353F10B" w:rsidR="0002360D" w:rsidRDefault="0002360D" w:rsidP="0002360D">
      <w:pPr>
        <w:pStyle w:val="TEXTONORMAL"/>
      </w:pPr>
      <w:r>
        <w:t xml:space="preserve">La depreciación de los inmuebles, mobiliario y equipo se calcula utilizando el método de línea recta y con base en su vida útil estimada (Ver nota </w:t>
      </w:r>
      <w:r w:rsidR="009A2B47">
        <w:t>3</w:t>
      </w:r>
      <w:r>
        <w:t>.</w:t>
      </w:r>
      <w:r w:rsidR="00B91BEC">
        <w:t>9</w:t>
      </w:r>
      <w:r w:rsidR="00A1251E">
        <w:t xml:space="preserve"> y 3.1</w:t>
      </w:r>
      <w:r w:rsidR="00B91BEC">
        <w:t>0</w:t>
      </w:r>
      <w:r>
        <w:t>), sobre el valor de los activos históricos.</w:t>
      </w:r>
    </w:p>
    <w:p w14:paraId="29D373A3" w14:textId="77777777" w:rsidR="00C57DFE" w:rsidRDefault="00C57DFE" w:rsidP="0002360D">
      <w:pPr>
        <w:pStyle w:val="TEXTONORMAL"/>
      </w:pPr>
    </w:p>
    <w:p w14:paraId="08000ABA" w14:textId="4AFBEB92" w:rsidR="0002360D" w:rsidRDefault="001F0B62" w:rsidP="00D06BE8">
      <w:pPr>
        <w:pStyle w:val="TEXTONORMAL"/>
        <w:numPr>
          <w:ilvl w:val="0"/>
          <w:numId w:val="88"/>
        </w:numPr>
        <w:ind w:left="357" w:hanging="357"/>
      </w:pPr>
      <w:r w:rsidRPr="00C57DFE">
        <w:t xml:space="preserve">8. </w:t>
      </w:r>
      <w:r w:rsidR="0002360D" w:rsidRPr="00C57DFE">
        <w:t>Fideicomisos, Mandatos y Análogos</w:t>
      </w:r>
    </w:p>
    <w:p w14:paraId="36486CE3" w14:textId="77777777" w:rsidR="001D1D9F" w:rsidRDefault="001D1D9F" w:rsidP="001D1D9F">
      <w:pPr>
        <w:pStyle w:val="TEXTONORMAL"/>
        <w:ind w:left="357"/>
      </w:pPr>
    </w:p>
    <w:tbl>
      <w:tblPr>
        <w:tblW w:w="11700" w:type="dxa"/>
        <w:jc w:val="center"/>
        <w:tblCellMar>
          <w:left w:w="70" w:type="dxa"/>
          <w:right w:w="70" w:type="dxa"/>
        </w:tblCellMar>
        <w:tblLook w:val="04A0" w:firstRow="1" w:lastRow="0" w:firstColumn="1" w:lastColumn="0" w:noHBand="0" w:noVBand="1"/>
      </w:tblPr>
      <w:tblGrid>
        <w:gridCol w:w="3780"/>
        <w:gridCol w:w="1000"/>
        <w:gridCol w:w="580"/>
        <w:gridCol w:w="6340"/>
      </w:tblGrid>
      <w:tr w:rsidR="001D1D9F" w:rsidRPr="001D1D9F" w14:paraId="4484B6C2" w14:textId="77777777" w:rsidTr="0064686A">
        <w:trPr>
          <w:trHeight w:val="240"/>
          <w:jc w:val="center"/>
        </w:trPr>
        <w:tc>
          <w:tcPr>
            <w:tcW w:w="3780" w:type="dxa"/>
            <w:tcBorders>
              <w:top w:val="double" w:sz="6" w:space="0" w:color="A6802D"/>
              <w:left w:val="nil"/>
              <w:bottom w:val="double" w:sz="6" w:space="0" w:color="A6802D"/>
              <w:right w:val="single" w:sz="12" w:space="0" w:color="FFFFFF"/>
            </w:tcBorders>
            <w:shd w:val="clear" w:color="000000" w:fill="A6802D"/>
            <w:vAlign w:val="center"/>
            <w:hideMark/>
          </w:tcPr>
          <w:p w14:paraId="7BF3D055" w14:textId="77777777" w:rsidR="001D1D9F" w:rsidRPr="001D1D9F" w:rsidRDefault="001D1D9F" w:rsidP="001D1D9F">
            <w:pPr>
              <w:spacing w:after="0" w:line="240" w:lineRule="auto"/>
              <w:jc w:val="center"/>
              <w:rPr>
                <w:rFonts w:ascii="Noto Sans" w:eastAsia="Times New Roman" w:hAnsi="Noto Sans" w:cs="Noto Sans"/>
                <w:b/>
                <w:bCs/>
                <w:color w:val="FFFFFF"/>
                <w:sz w:val="16"/>
                <w:szCs w:val="16"/>
                <w:lang w:eastAsia="es-MX"/>
              </w:rPr>
            </w:pPr>
            <w:r w:rsidRPr="001D1D9F">
              <w:rPr>
                <w:rFonts w:ascii="Noto Sans" w:eastAsia="Times New Roman" w:hAnsi="Noto Sans" w:cs="Noto Sans"/>
                <w:b/>
                <w:bCs/>
                <w:color w:val="FFFFFF"/>
                <w:sz w:val="16"/>
                <w:szCs w:val="16"/>
                <w:lang w:eastAsia="es-MX"/>
              </w:rPr>
              <w:t>Fideicomiso</w:t>
            </w:r>
          </w:p>
        </w:tc>
        <w:tc>
          <w:tcPr>
            <w:tcW w:w="1580" w:type="dxa"/>
            <w:gridSpan w:val="2"/>
            <w:tcBorders>
              <w:top w:val="double" w:sz="6" w:space="0" w:color="A6802D"/>
              <w:left w:val="nil"/>
              <w:bottom w:val="double" w:sz="6" w:space="0" w:color="A6802D"/>
              <w:right w:val="single" w:sz="12" w:space="0" w:color="FFFFFF"/>
            </w:tcBorders>
            <w:shd w:val="clear" w:color="000000" w:fill="A6802D"/>
            <w:vAlign w:val="center"/>
            <w:hideMark/>
          </w:tcPr>
          <w:p w14:paraId="538C4271" w14:textId="77777777" w:rsidR="001D1D9F" w:rsidRPr="001D1D9F" w:rsidRDefault="001D1D9F" w:rsidP="001D1D9F">
            <w:pPr>
              <w:spacing w:after="0" w:line="240" w:lineRule="auto"/>
              <w:jc w:val="center"/>
              <w:rPr>
                <w:rFonts w:ascii="Noto Sans" w:eastAsia="Times New Roman" w:hAnsi="Noto Sans" w:cs="Noto Sans"/>
                <w:b/>
                <w:bCs/>
                <w:color w:val="FFFFFF"/>
                <w:sz w:val="16"/>
                <w:szCs w:val="16"/>
                <w:lang w:eastAsia="es-MX"/>
              </w:rPr>
            </w:pPr>
            <w:r w:rsidRPr="001D1D9F">
              <w:rPr>
                <w:rFonts w:ascii="Noto Sans" w:eastAsia="Times New Roman" w:hAnsi="Noto Sans" w:cs="Noto Sans"/>
                <w:b/>
                <w:bCs/>
                <w:color w:val="FFFFFF"/>
                <w:sz w:val="16"/>
                <w:szCs w:val="16"/>
                <w:lang w:eastAsia="es-MX"/>
              </w:rPr>
              <w:t>Importe</w:t>
            </w:r>
          </w:p>
        </w:tc>
        <w:tc>
          <w:tcPr>
            <w:tcW w:w="6340" w:type="dxa"/>
            <w:tcBorders>
              <w:top w:val="double" w:sz="6" w:space="0" w:color="A6802D"/>
              <w:left w:val="nil"/>
              <w:bottom w:val="double" w:sz="6" w:space="0" w:color="A6802D"/>
              <w:right w:val="nil"/>
            </w:tcBorders>
            <w:shd w:val="clear" w:color="000000" w:fill="A6802D"/>
            <w:vAlign w:val="center"/>
            <w:hideMark/>
          </w:tcPr>
          <w:p w14:paraId="46DDC2BD" w14:textId="77777777" w:rsidR="001D1D9F" w:rsidRPr="001D1D9F" w:rsidRDefault="001D1D9F" w:rsidP="001D1D9F">
            <w:pPr>
              <w:spacing w:after="0" w:line="240" w:lineRule="auto"/>
              <w:jc w:val="center"/>
              <w:rPr>
                <w:rFonts w:ascii="Noto Sans" w:eastAsia="Times New Roman" w:hAnsi="Noto Sans" w:cs="Noto Sans"/>
                <w:b/>
                <w:bCs/>
                <w:color w:val="FFFFFF"/>
                <w:sz w:val="16"/>
                <w:szCs w:val="16"/>
                <w:lang w:eastAsia="es-MX"/>
              </w:rPr>
            </w:pPr>
            <w:r w:rsidRPr="001D1D9F">
              <w:rPr>
                <w:rFonts w:ascii="Noto Sans" w:eastAsia="Times New Roman" w:hAnsi="Noto Sans" w:cs="Noto Sans"/>
                <w:b/>
                <w:bCs/>
                <w:color w:val="FFFFFF"/>
                <w:sz w:val="16"/>
                <w:szCs w:val="16"/>
                <w:lang w:eastAsia="es-MX"/>
              </w:rPr>
              <w:t xml:space="preserve">Objeto </w:t>
            </w:r>
          </w:p>
        </w:tc>
      </w:tr>
      <w:tr w:rsidR="004B1830" w:rsidRPr="001D1D9F" w14:paraId="1DF44C46" w14:textId="77777777" w:rsidTr="0064686A">
        <w:trPr>
          <w:trHeight w:val="405"/>
          <w:jc w:val="center"/>
        </w:trPr>
        <w:tc>
          <w:tcPr>
            <w:tcW w:w="3780" w:type="dxa"/>
            <w:tcBorders>
              <w:top w:val="nil"/>
              <w:left w:val="nil"/>
              <w:bottom w:val="nil"/>
              <w:right w:val="nil"/>
            </w:tcBorders>
            <w:shd w:val="clear" w:color="000000" w:fill="F2F2F2"/>
            <w:vAlign w:val="center"/>
            <w:hideMark/>
          </w:tcPr>
          <w:p w14:paraId="3264121C" w14:textId="77777777" w:rsidR="004B1830" w:rsidRPr="001D1D9F" w:rsidRDefault="004B1830" w:rsidP="004B1830">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Fideicomiso de Beneficios Sociales (FIBESO)</w:t>
            </w:r>
          </w:p>
        </w:tc>
        <w:tc>
          <w:tcPr>
            <w:tcW w:w="1580" w:type="dxa"/>
            <w:gridSpan w:val="2"/>
            <w:tcBorders>
              <w:top w:val="double" w:sz="6" w:space="0" w:color="A6802D"/>
              <w:left w:val="nil"/>
              <w:bottom w:val="nil"/>
              <w:right w:val="nil"/>
            </w:tcBorders>
            <w:shd w:val="clear" w:color="000000" w:fill="F2F2F2"/>
            <w:vAlign w:val="center"/>
            <w:hideMark/>
          </w:tcPr>
          <w:p w14:paraId="441789A6" w14:textId="4BDF4B62" w:rsidR="004B1830" w:rsidRPr="001D1D9F" w:rsidRDefault="004B1830" w:rsidP="004B183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671,676,908.0</w:t>
            </w:r>
          </w:p>
        </w:tc>
        <w:tc>
          <w:tcPr>
            <w:tcW w:w="6340" w:type="dxa"/>
            <w:tcBorders>
              <w:top w:val="nil"/>
              <w:left w:val="nil"/>
              <w:bottom w:val="nil"/>
              <w:right w:val="nil"/>
            </w:tcBorders>
            <w:shd w:val="clear" w:color="000000" w:fill="F2F2F2"/>
            <w:vAlign w:val="center"/>
            <w:hideMark/>
          </w:tcPr>
          <w:p w14:paraId="56087819" w14:textId="77777777" w:rsidR="004B1830" w:rsidRPr="001D1D9F" w:rsidRDefault="004B1830" w:rsidP="004B1830">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Proporcionar el servicio de velatorios para los derechohabientes y la población en general</w:t>
            </w:r>
          </w:p>
        </w:tc>
      </w:tr>
      <w:tr w:rsidR="004B1830" w:rsidRPr="001D1D9F" w14:paraId="7B324520" w14:textId="77777777" w:rsidTr="0064686A">
        <w:trPr>
          <w:trHeight w:val="390"/>
          <w:jc w:val="center"/>
        </w:trPr>
        <w:tc>
          <w:tcPr>
            <w:tcW w:w="3780" w:type="dxa"/>
            <w:tcBorders>
              <w:top w:val="nil"/>
              <w:left w:val="nil"/>
              <w:bottom w:val="nil"/>
              <w:right w:val="nil"/>
            </w:tcBorders>
            <w:shd w:val="clear" w:color="000000" w:fill="F2F2F2"/>
            <w:vAlign w:val="center"/>
            <w:hideMark/>
          </w:tcPr>
          <w:p w14:paraId="401ED034" w14:textId="77777777" w:rsidR="004B1830" w:rsidRPr="001D1D9F" w:rsidRDefault="004B1830" w:rsidP="004B1830">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Fondo para Ayudas Extraordinarias con motivo del incendio de la Guardería ABC</w:t>
            </w:r>
          </w:p>
        </w:tc>
        <w:tc>
          <w:tcPr>
            <w:tcW w:w="1580" w:type="dxa"/>
            <w:gridSpan w:val="2"/>
            <w:tcBorders>
              <w:top w:val="nil"/>
              <w:left w:val="nil"/>
              <w:bottom w:val="nil"/>
              <w:right w:val="nil"/>
            </w:tcBorders>
            <w:shd w:val="clear" w:color="000000" w:fill="F2F2F2"/>
            <w:vAlign w:val="center"/>
            <w:hideMark/>
          </w:tcPr>
          <w:p w14:paraId="79262C42" w14:textId="6E0852FE" w:rsidR="004B1830" w:rsidRPr="001D1D9F" w:rsidRDefault="004B1830" w:rsidP="004B183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318,377,566.2</w:t>
            </w:r>
          </w:p>
        </w:tc>
        <w:tc>
          <w:tcPr>
            <w:tcW w:w="6340" w:type="dxa"/>
            <w:tcBorders>
              <w:top w:val="nil"/>
              <w:left w:val="nil"/>
              <w:bottom w:val="nil"/>
              <w:right w:val="nil"/>
            </w:tcBorders>
            <w:shd w:val="clear" w:color="000000" w:fill="F2F2F2"/>
            <w:vAlign w:val="center"/>
            <w:hideMark/>
          </w:tcPr>
          <w:p w14:paraId="487CEA38" w14:textId="77777777" w:rsidR="004B1830" w:rsidRPr="001D1D9F" w:rsidRDefault="004B1830" w:rsidP="004B1830">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Apoyo a las madres de los menores fallecidos y de los lesionados por quemaduras y, a falta de ella, la persona que en lo futuro cuide de ellos.</w:t>
            </w:r>
          </w:p>
        </w:tc>
      </w:tr>
      <w:tr w:rsidR="004B1830" w:rsidRPr="001D1D9F" w14:paraId="2705246D" w14:textId="77777777" w:rsidTr="0064686A">
        <w:trPr>
          <w:trHeight w:val="390"/>
          <w:jc w:val="center"/>
        </w:trPr>
        <w:tc>
          <w:tcPr>
            <w:tcW w:w="3780" w:type="dxa"/>
            <w:tcBorders>
              <w:top w:val="nil"/>
              <w:left w:val="nil"/>
              <w:bottom w:val="nil"/>
              <w:right w:val="nil"/>
            </w:tcBorders>
            <w:shd w:val="clear" w:color="000000" w:fill="F2F2F2"/>
            <w:vAlign w:val="center"/>
            <w:hideMark/>
          </w:tcPr>
          <w:p w14:paraId="5292D436" w14:textId="77777777" w:rsidR="004B1830" w:rsidRPr="001D1D9F" w:rsidRDefault="004B1830" w:rsidP="004B1830">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Fideicomiso para el Desarrollo del Deporte (FIDEIMSS)</w:t>
            </w:r>
          </w:p>
        </w:tc>
        <w:tc>
          <w:tcPr>
            <w:tcW w:w="1580" w:type="dxa"/>
            <w:gridSpan w:val="2"/>
            <w:tcBorders>
              <w:top w:val="nil"/>
              <w:left w:val="nil"/>
              <w:bottom w:val="nil"/>
              <w:right w:val="nil"/>
            </w:tcBorders>
            <w:shd w:val="clear" w:color="000000" w:fill="F2F2F2"/>
            <w:vAlign w:val="center"/>
            <w:hideMark/>
          </w:tcPr>
          <w:p w14:paraId="65E3F18F" w14:textId="47C80FF2" w:rsidR="004B1830" w:rsidRPr="001D1D9F" w:rsidRDefault="004B1830" w:rsidP="004B183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82,893,816.9</w:t>
            </w:r>
          </w:p>
        </w:tc>
        <w:tc>
          <w:tcPr>
            <w:tcW w:w="6340" w:type="dxa"/>
            <w:tcBorders>
              <w:top w:val="nil"/>
              <w:left w:val="nil"/>
              <w:bottom w:val="nil"/>
              <w:right w:val="nil"/>
            </w:tcBorders>
            <w:shd w:val="clear" w:color="000000" w:fill="F2F2F2"/>
            <w:vAlign w:val="center"/>
            <w:hideMark/>
          </w:tcPr>
          <w:p w14:paraId="74B6E1E6" w14:textId="77777777" w:rsidR="004B1830" w:rsidRPr="001D1D9F" w:rsidRDefault="004B1830" w:rsidP="004B1830">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Apoyar el deporte de alto rendimiento facilitando a deportistas de escasos recursos tener la oportunidad de destacar deportivamente en el entorno nacional e internacional</w:t>
            </w:r>
          </w:p>
        </w:tc>
      </w:tr>
      <w:tr w:rsidR="004B1830" w:rsidRPr="001D1D9F" w14:paraId="1B6358D8" w14:textId="77777777" w:rsidTr="0064686A">
        <w:trPr>
          <w:trHeight w:val="405"/>
          <w:jc w:val="center"/>
        </w:trPr>
        <w:tc>
          <w:tcPr>
            <w:tcW w:w="3780" w:type="dxa"/>
            <w:tcBorders>
              <w:top w:val="nil"/>
              <w:left w:val="nil"/>
              <w:bottom w:val="single" w:sz="12" w:space="0" w:color="A6802D"/>
              <w:right w:val="nil"/>
            </w:tcBorders>
            <w:shd w:val="clear" w:color="000000" w:fill="F2F2F2"/>
            <w:vAlign w:val="center"/>
            <w:hideMark/>
          </w:tcPr>
          <w:p w14:paraId="0B53246B" w14:textId="77777777" w:rsidR="004B1830" w:rsidRPr="001D1D9F" w:rsidRDefault="004B1830" w:rsidP="004B1830">
            <w:pPr>
              <w:spacing w:after="0" w:line="240" w:lineRule="auto"/>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Fideicomiso de Administración de Teatros y Salas de Espectáculos del IMSS</w:t>
            </w:r>
          </w:p>
        </w:tc>
        <w:tc>
          <w:tcPr>
            <w:tcW w:w="1580" w:type="dxa"/>
            <w:gridSpan w:val="2"/>
            <w:tcBorders>
              <w:top w:val="nil"/>
              <w:left w:val="nil"/>
              <w:bottom w:val="single" w:sz="12" w:space="0" w:color="A6802D"/>
              <w:right w:val="nil"/>
            </w:tcBorders>
            <w:shd w:val="clear" w:color="000000" w:fill="F2F2F2"/>
            <w:vAlign w:val="center"/>
            <w:hideMark/>
          </w:tcPr>
          <w:p w14:paraId="0FA8E6E7" w14:textId="1EC19546" w:rsidR="004B1830" w:rsidRPr="001D1D9F" w:rsidRDefault="004B1830" w:rsidP="004B1830">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66,837,051.</w:t>
            </w:r>
            <w:r w:rsidR="00456FD5">
              <w:rPr>
                <w:rFonts w:ascii="Noto Sans" w:hAnsi="Noto Sans" w:cs="Noto Sans"/>
                <w:color w:val="000000"/>
                <w:sz w:val="15"/>
                <w:szCs w:val="15"/>
              </w:rPr>
              <w:t>4</w:t>
            </w:r>
          </w:p>
        </w:tc>
        <w:tc>
          <w:tcPr>
            <w:tcW w:w="6340" w:type="dxa"/>
            <w:tcBorders>
              <w:top w:val="nil"/>
              <w:left w:val="nil"/>
              <w:bottom w:val="single" w:sz="12" w:space="0" w:color="A6802D"/>
              <w:right w:val="nil"/>
            </w:tcBorders>
            <w:shd w:val="clear" w:color="000000" w:fill="F2F2F2"/>
            <w:vAlign w:val="center"/>
            <w:hideMark/>
          </w:tcPr>
          <w:p w14:paraId="5DAEF113" w14:textId="77777777" w:rsidR="004B1830" w:rsidRPr="001D1D9F" w:rsidRDefault="004B1830" w:rsidP="004B1830">
            <w:pPr>
              <w:spacing w:after="0" w:line="240" w:lineRule="auto"/>
              <w:jc w:val="both"/>
              <w:rPr>
                <w:rFonts w:ascii="Noto Sans" w:eastAsia="Times New Roman" w:hAnsi="Noto Sans" w:cs="Noto Sans"/>
                <w:color w:val="000000"/>
                <w:sz w:val="15"/>
                <w:szCs w:val="15"/>
                <w:lang w:eastAsia="es-MX"/>
              </w:rPr>
            </w:pPr>
            <w:r w:rsidRPr="001D1D9F">
              <w:rPr>
                <w:rFonts w:ascii="Noto Sans" w:eastAsia="Times New Roman" w:hAnsi="Noto Sans" w:cs="Noto Sans"/>
                <w:color w:val="000000"/>
                <w:sz w:val="15"/>
                <w:szCs w:val="15"/>
                <w:lang w:eastAsia="es-MX"/>
              </w:rPr>
              <w:t>Promover el desarrollo de proyectos teatrales</w:t>
            </w:r>
          </w:p>
        </w:tc>
      </w:tr>
      <w:tr w:rsidR="001D1D9F" w:rsidRPr="001D1D9F" w14:paraId="2FB7706D" w14:textId="77777777" w:rsidTr="0064686A">
        <w:trPr>
          <w:gridAfter w:val="2"/>
          <w:wAfter w:w="6920" w:type="dxa"/>
          <w:trHeight w:val="255"/>
          <w:jc w:val="center"/>
        </w:trPr>
        <w:tc>
          <w:tcPr>
            <w:tcW w:w="4780" w:type="dxa"/>
            <w:gridSpan w:val="2"/>
            <w:tcBorders>
              <w:top w:val="single" w:sz="12" w:space="0" w:color="A6802D"/>
              <w:left w:val="nil"/>
              <w:bottom w:val="nil"/>
              <w:right w:val="nil"/>
            </w:tcBorders>
            <w:vAlign w:val="center"/>
            <w:hideMark/>
          </w:tcPr>
          <w:p w14:paraId="4D54225F" w14:textId="77777777" w:rsidR="001D1D9F" w:rsidRPr="001D1D9F" w:rsidRDefault="001D1D9F" w:rsidP="001D1D9F">
            <w:pPr>
              <w:spacing w:after="0" w:line="240" w:lineRule="auto"/>
              <w:jc w:val="both"/>
              <w:rPr>
                <w:rFonts w:ascii="Noto Sans" w:eastAsia="Times New Roman" w:hAnsi="Noto Sans" w:cs="Noto Sans"/>
                <w:color w:val="000000"/>
                <w:sz w:val="14"/>
                <w:szCs w:val="14"/>
                <w:lang w:eastAsia="es-MX"/>
              </w:rPr>
            </w:pPr>
            <w:r w:rsidRPr="001D1D9F">
              <w:rPr>
                <w:rFonts w:ascii="Noto Sans" w:eastAsia="Times New Roman" w:hAnsi="Noto Sans" w:cs="Noto Sans"/>
                <w:color w:val="000000"/>
                <w:sz w:val="14"/>
                <w:szCs w:val="14"/>
                <w:lang w:eastAsia="es-MX"/>
              </w:rPr>
              <w:t>FUENTE: Instituto Mexicano del Seguro Social</w:t>
            </w:r>
          </w:p>
        </w:tc>
      </w:tr>
    </w:tbl>
    <w:p w14:paraId="20356BEE" w14:textId="77777777" w:rsidR="00825395" w:rsidRDefault="00825395" w:rsidP="009115B3">
      <w:pPr>
        <w:pStyle w:val="TEXTONORMAL"/>
        <w:rPr>
          <w:rFonts w:cs="Noto Sans"/>
        </w:rPr>
      </w:pPr>
    </w:p>
    <w:p w14:paraId="53695D78" w14:textId="77777777" w:rsidR="009115B3" w:rsidRDefault="009115B3" w:rsidP="009115B3">
      <w:pPr>
        <w:pStyle w:val="TEXTONORMAL"/>
        <w:rPr>
          <w:rFonts w:cs="Noto Sans"/>
        </w:rPr>
      </w:pPr>
    </w:p>
    <w:p w14:paraId="32B980DA" w14:textId="77777777" w:rsidR="009115B3" w:rsidRDefault="009115B3" w:rsidP="009115B3">
      <w:pPr>
        <w:pStyle w:val="TEXTONORMAL"/>
        <w:rPr>
          <w:rFonts w:cs="Noto Sans"/>
        </w:rPr>
      </w:pPr>
    </w:p>
    <w:p w14:paraId="01A67107" w14:textId="77777777" w:rsidR="009115B3" w:rsidRDefault="009115B3" w:rsidP="009115B3">
      <w:pPr>
        <w:pStyle w:val="TEXTONORMAL"/>
        <w:rPr>
          <w:rFonts w:cs="Noto Sans"/>
        </w:rPr>
      </w:pPr>
    </w:p>
    <w:p w14:paraId="1CCA9C98" w14:textId="77777777" w:rsidR="009115B3" w:rsidRDefault="009115B3" w:rsidP="009115B3">
      <w:pPr>
        <w:pStyle w:val="TEXTONORMAL"/>
        <w:rPr>
          <w:rFonts w:cs="Noto Sans"/>
        </w:rPr>
      </w:pPr>
    </w:p>
    <w:p w14:paraId="50ED2B17" w14:textId="77777777" w:rsidR="00857F08" w:rsidRDefault="00857F08" w:rsidP="009115B3">
      <w:pPr>
        <w:pStyle w:val="TEXTONORMAL"/>
        <w:rPr>
          <w:rFonts w:cs="Noto Sans"/>
        </w:rPr>
      </w:pPr>
    </w:p>
    <w:p w14:paraId="118BA25E" w14:textId="77777777" w:rsidR="00857F08" w:rsidRDefault="00857F08" w:rsidP="009115B3">
      <w:pPr>
        <w:pStyle w:val="TEXTONORMAL"/>
        <w:rPr>
          <w:rFonts w:cs="Noto Sans"/>
        </w:rPr>
      </w:pPr>
    </w:p>
    <w:p w14:paraId="64684E6E" w14:textId="22F8071B" w:rsidR="0002360D" w:rsidRPr="00825395" w:rsidRDefault="001F0B62" w:rsidP="00825395">
      <w:pPr>
        <w:pStyle w:val="TEXTONORMAL"/>
        <w:numPr>
          <w:ilvl w:val="0"/>
          <w:numId w:val="88"/>
        </w:numPr>
        <w:ind w:left="357" w:hanging="357"/>
      </w:pPr>
      <w:r w:rsidRPr="00825395">
        <w:lastRenderedPageBreak/>
        <w:t xml:space="preserve">9. </w:t>
      </w:r>
      <w:r w:rsidR="0002360D" w:rsidRPr="00FD1D64">
        <w:t>Reporte de la recaudación</w:t>
      </w:r>
    </w:p>
    <w:p w14:paraId="3B731AF9" w14:textId="77777777" w:rsidR="0002360D" w:rsidRPr="00EB140B" w:rsidRDefault="0002360D" w:rsidP="00D06BE8">
      <w:pPr>
        <w:pStyle w:val="TEXTONORMAL"/>
        <w:numPr>
          <w:ilvl w:val="0"/>
          <w:numId w:val="91"/>
        </w:numPr>
        <w:ind w:left="714" w:hanging="357"/>
      </w:pPr>
      <w:r>
        <w:t>D</w:t>
      </w:r>
      <w:r w:rsidRPr="00EB140B">
        <w:t>istribución de la meta de recaudación diaria para 202</w:t>
      </w:r>
      <w:r>
        <w:t>5 por día hábil del mes</w:t>
      </w:r>
      <w:r>
        <w:rPr>
          <w:rFonts w:cs="Arial"/>
        </w:rPr>
        <w:t>.</w:t>
      </w:r>
    </w:p>
    <w:p w14:paraId="49DEA8BC" w14:textId="77777777" w:rsidR="0002360D" w:rsidRDefault="0002360D" w:rsidP="0002360D">
      <w:pPr>
        <w:pStyle w:val="TEXTONORMAL"/>
        <w:rPr>
          <w:rFonts w:cs="Noto Sans"/>
        </w:rPr>
      </w:pPr>
    </w:p>
    <w:tbl>
      <w:tblPr>
        <w:tblW w:w="0" w:type="auto"/>
        <w:jc w:val="center"/>
        <w:tblCellMar>
          <w:left w:w="70" w:type="dxa"/>
          <w:right w:w="70" w:type="dxa"/>
        </w:tblCellMar>
        <w:tblLook w:val="0480" w:firstRow="0" w:lastRow="0" w:firstColumn="1" w:lastColumn="0" w:noHBand="0" w:noVBand="1"/>
      </w:tblPr>
      <w:tblGrid>
        <w:gridCol w:w="680"/>
        <w:gridCol w:w="737"/>
        <w:gridCol w:w="737"/>
        <w:gridCol w:w="737"/>
        <w:gridCol w:w="737"/>
        <w:gridCol w:w="737"/>
        <w:gridCol w:w="737"/>
        <w:gridCol w:w="737"/>
        <w:gridCol w:w="737"/>
        <w:gridCol w:w="948"/>
        <w:gridCol w:w="737"/>
        <w:gridCol w:w="918"/>
        <w:gridCol w:w="744"/>
        <w:gridCol w:w="113"/>
      </w:tblGrid>
      <w:tr w:rsidR="0002360D" w:rsidRPr="005946C5" w14:paraId="37C1AAD2" w14:textId="77777777" w:rsidTr="00ED10B2">
        <w:trPr>
          <w:trHeight w:val="83"/>
          <w:jc w:val="center"/>
        </w:trPr>
        <w:tc>
          <w:tcPr>
            <w:tcW w:w="680" w:type="dxa"/>
            <w:vMerge w:val="restart"/>
            <w:tcBorders>
              <w:top w:val="double" w:sz="12" w:space="0" w:color="A6802D"/>
              <w:left w:val="nil"/>
              <w:right w:val="single" w:sz="12" w:space="0" w:color="FFFFFF"/>
            </w:tcBorders>
            <w:shd w:val="clear" w:color="auto" w:fill="A6802D"/>
            <w:vAlign w:val="center"/>
            <w:hideMark/>
          </w:tcPr>
          <w:p w14:paraId="7DFC0BC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6"/>
                <w:szCs w:val="14"/>
                <w:lang w:eastAsia="es-MX"/>
              </w:rPr>
              <w:t xml:space="preserve">Día hábil </w:t>
            </w:r>
          </w:p>
        </w:tc>
        <w:tc>
          <w:tcPr>
            <w:tcW w:w="9356" w:type="dxa"/>
            <w:gridSpan w:val="13"/>
            <w:tcBorders>
              <w:top w:val="double" w:sz="12" w:space="0" w:color="A6802D"/>
              <w:left w:val="nil"/>
              <w:bottom w:val="single" w:sz="12" w:space="0" w:color="FFFFFF"/>
            </w:tcBorders>
            <w:shd w:val="clear" w:color="auto" w:fill="A6802D"/>
            <w:vAlign w:val="center"/>
          </w:tcPr>
          <w:p w14:paraId="495E0A65"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6"/>
                <w:szCs w:val="14"/>
                <w:lang w:eastAsia="es-MX"/>
              </w:rPr>
              <w:t>Cifras en millones de pesos.</w:t>
            </w:r>
          </w:p>
        </w:tc>
      </w:tr>
      <w:tr w:rsidR="0002360D" w:rsidRPr="005946C5" w14:paraId="1550A4A1" w14:textId="77777777" w:rsidTr="00ED10B2">
        <w:trPr>
          <w:trHeight w:val="28"/>
          <w:jc w:val="center"/>
        </w:trPr>
        <w:tc>
          <w:tcPr>
            <w:tcW w:w="680" w:type="dxa"/>
            <w:vMerge/>
            <w:tcBorders>
              <w:left w:val="nil"/>
              <w:bottom w:val="triple" w:sz="12" w:space="0" w:color="A6802D"/>
              <w:right w:val="single" w:sz="12" w:space="0" w:color="FFFFFF"/>
            </w:tcBorders>
            <w:shd w:val="clear" w:color="auto" w:fill="A6802D"/>
            <w:vAlign w:val="center"/>
            <w:hideMark/>
          </w:tcPr>
          <w:p w14:paraId="1BC303D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p>
        </w:tc>
        <w:tc>
          <w:tcPr>
            <w:tcW w:w="737" w:type="dxa"/>
            <w:tcBorders>
              <w:top w:val="nil"/>
              <w:left w:val="nil"/>
              <w:bottom w:val="triple" w:sz="12" w:space="0" w:color="A6802D"/>
              <w:right w:val="single" w:sz="12" w:space="0" w:color="FFFFFF" w:themeColor="background1"/>
            </w:tcBorders>
            <w:shd w:val="clear" w:color="auto" w:fill="A6802D"/>
            <w:vAlign w:val="center"/>
          </w:tcPr>
          <w:p w14:paraId="237843BA"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Enero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7CAF582"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Febrero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0396C3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Marzo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5FA7591"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Abril</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047D1CDD"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Mayo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4EC8EDF3"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Junio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0D5D6ECE"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Julio</w:t>
            </w:r>
          </w:p>
        </w:tc>
        <w:tc>
          <w:tcPr>
            <w:tcW w:w="73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4707B0C"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Agosto</w:t>
            </w:r>
          </w:p>
        </w:tc>
        <w:tc>
          <w:tcPr>
            <w:tcW w:w="948"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7A2D6D9F"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Septiembre</w:t>
            </w:r>
          </w:p>
        </w:tc>
        <w:tc>
          <w:tcPr>
            <w:tcW w:w="73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BD36D0A"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Octubre</w:t>
            </w:r>
          </w:p>
        </w:tc>
        <w:tc>
          <w:tcPr>
            <w:tcW w:w="918"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390AF146"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Pr>
                <w:rFonts w:ascii="Noto Sans" w:eastAsia="Times New Roman" w:hAnsi="Noto Sans" w:cs="Noto Sans"/>
                <w:b/>
                <w:bCs/>
                <w:color w:val="FFFFFF"/>
                <w:sz w:val="14"/>
                <w:szCs w:val="14"/>
                <w:lang w:eastAsia="es-MX"/>
              </w:rPr>
              <w:t>N</w:t>
            </w:r>
            <w:r w:rsidRPr="00730700">
              <w:rPr>
                <w:rFonts w:ascii="Noto Sans" w:eastAsia="Times New Roman" w:hAnsi="Noto Sans" w:cs="Noto Sans"/>
                <w:b/>
                <w:bCs/>
                <w:color w:val="FFFFFF"/>
                <w:sz w:val="14"/>
                <w:szCs w:val="14"/>
                <w:lang w:eastAsia="es-MX"/>
              </w:rPr>
              <w:t>oviembre</w:t>
            </w:r>
          </w:p>
        </w:tc>
        <w:tc>
          <w:tcPr>
            <w:tcW w:w="857" w:type="dxa"/>
            <w:gridSpan w:val="2"/>
            <w:tcBorders>
              <w:top w:val="nil"/>
              <w:left w:val="single" w:sz="12" w:space="0" w:color="FFFFFF" w:themeColor="background1"/>
              <w:bottom w:val="triple" w:sz="12" w:space="0" w:color="A6802D"/>
            </w:tcBorders>
            <w:shd w:val="clear" w:color="auto" w:fill="A6802D"/>
            <w:vAlign w:val="center"/>
          </w:tcPr>
          <w:p w14:paraId="73D6DFB2" w14:textId="77777777" w:rsidR="0002360D" w:rsidRPr="00730700" w:rsidRDefault="0002360D" w:rsidP="00ED10B2">
            <w:pPr>
              <w:spacing w:after="0" w:line="240" w:lineRule="exact"/>
              <w:jc w:val="center"/>
              <w:rPr>
                <w:rFonts w:ascii="Noto Sans" w:eastAsia="Times New Roman" w:hAnsi="Noto Sans" w:cs="Noto Sans"/>
                <w:b/>
                <w:bCs/>
                <w:color w:val="FFFFFF"/>
                <w:sz w:val="14"/>
                <w:szCs w:val="14"/>
                <w:lang w:eastAsia="es-MX"/>
              </w:rPr>
            </w:pPr>
            <w:r w:rsidRPr="00730700">
              <w:rPr>
                <w:rFonts w:ascii="Noto Sans" w:eastAsia="Times New Roman" w:hAnsi="Noto Sans" w:cs="Noto Sans"/>
                <w:b/>
                <w:bCs/>
                <w:color w:val="FFFFFF"/>
                <w:sz w:val="14"/>
                <w:szCs w:val="14"/>
                <w:lang w:eastAsia="es-MX"/>
              </w:rPr>
              <w:t>Diciembre</w:t>
            </w:r>
          </w:p>
        </w:tc>
      </w:tr>
      <w:tr w:rsidR="0002360D" w:rsidRPr="005946C5" w14:paraId="549DD4C4" w14:textId="77777777" w:rsidTr="00ED10B2">
        <w:trPr>
          <w:trHeight w:val="283"/>
          <w:jc w:val="center"/>
        </w:trPr>
        <w:tc>
          <w:tcPr>
            <w:tcW w:w="680" w:type="dxa"/>
            <w:tcBorders>
              <w:top w:val="nil"/>
              <w:left w:val="nil"/>
              <w:right w:val="nil"/>
            </w:tcBorders>
            <w:shd w:val="clear" w:color="000000" w:fill="F2F2F2"/>
            <w:vAlign w:val="center"/>
          </w:tcPr>
          <w:p w14:paraId="51C87CC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w:t>
            </w:r>
          </w:p>
        </w:tc>
        <w:tc>
          <w:tcPr>
            <w:tcW w:w="737" w:type="dxa"/>
            <w:tcBorders>
              <w:top w:val="nil"/>
              <w:left w:val="nil"/>
              <w:right w:val="nil"/>
            </w:tcBorders>
            <w:shd w:val="clear" w:color="000000" w:fill="F2F2F2"/>
            <w:vAlign w:val="center"/>
          </w:tcPr>
          <w:p w14:paraId="13685C7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284</w:t>
            </w:r>
          </w:p>
        </w:tc>
        <w:tc>
          <w:tcPr>
            <w:tcW w:w="737" w:type="dxa"/>
            <w:tcBorders>
              <w:top w:val="nil"/>
              <w:left w:val="nil"/>
              <w:right w:val="nil"/>
            </w:tcBorders>
            <w:shd w:val="clear" w:color="000000" w:fill="F2F2F2"/>
            <w:vAlign w:val="center"/>
          </w:tcPr>
          <w:p w14:paraId="25AF866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258</w:t>
            </w:r>
          </w:p>
        </w:tc>
        <w:tc>
          <w:tcPr>
            <w:tcW w:w="737" w:type="dxa"/>
            <w:tcBorders>
              <w:top w:val="nil"/>
              <w:left w:val="nil"/>
              <w:right w:val="nil"/>
            </w:tcBorders>
            <w:shd w:val="clear" w:color="000000" w:fill="F2F2F2"/>
            <w:vAlign w:val="center"/>
          </w:tcPr>
          <w:p w14:paraId="59C453C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249</w:t>
            </w:r>
          </w:p>
        </w:tc>
        <w:tc>
          <w:tcPr>
            <w:tcW w:w="737" w:type="dxa"/>
            <w:tcBorders>
              <w:top w:val="nil"/>
              <w:left w:val="nil"/>
              <w:right w:val="nil"/>
            </w:tcBorders>
            <w:shd w:val="clear" w:color="000000" w:fill="F2F2F2"/>
            <w:vAlign w:val="center"/>
          </w:tcPr>
          <w:p w14:paraId="5BCF70E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295</w:t>
            </w:r>
          </w:p>
        </w:tc>
        <w:tc>
          <w:tcPr>
            <w:tcW w:w="737" w:type="dxa"/>
            <w:tcBorders>
              <w:top w:val="nil"/>
              <w:left w:val="nil"/>
              <w:right w:val="nil"/>
            </w:tcBorders>
            <w:shd w:val="clear" w:color="000000" w:fill="F2F2F2"/>
            <w:vAlign w:val="center"/>
          </w:tcPr>
          <w:p w14:paraId="402C40A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287</w:t>
            </w:r>
          </w:p>
        </w:tc>
        <w:tc>
          <w:tcPr>
            <w:tcW w:w="737" w:type="dxa"/>
            <w:tcBorders>
              <w:top w:val="nil"/>
              <w:left w:val="nil"/>
              <w:right w:val="nil"/>
            </w:tcBorders>
            <w:shd w:val="clear" w:color="000000" w:fill="F2F2F2"/>
            <w:vAlign w:val="center"/>
          </w:tcPr>
          <w:p w14:paraId="7CB98A4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298</w:t>
            </w:r>
          </w:p>
        </w:tc>
        <w:tc>
          <w:tcPr>
            <w:tcW w:w="737" w:type="dxa"/>
            <w:tcBorders>
              <w:top w:val="nil"/>
              <w:left w:val="nil"/>
              <w:right w:val="nil"/>
            </w:tcBorders>
            <w:shd w:val="clear" w:color="000000" w:fill="F2F2F2"/>
            <w:vAlign w:val="center"/>
          </w:tcPr>
          <w:p w14:paraId="74FBB64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293</w:t>
            </w:r>
          </w:p>
        </w:tc>
        <w:tc>
          <w:tcPr>
            <w:tcW w:w="737" w:type="dxa"/>
            <w:tcBorders>
              <w:top w:val="nil"/>
              <w:left w:val="nil"/>
              <w:right w:val="nil"/>
            </w:tcBorders>
            <w:shd w:val="clear" w:color="000000" w:fill="F2F2F2"/>
            <w:vAlign w:val="center"/>
          </w:tcPr>
          <w:p w14:paraId="778D1AB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299</w:t>
            </w:r>
          </w:p>
        </w:tc>
        <w:tc>
          <w:tcPr>
            <w:tcW w:w="948" w:type="dxa"/>
            <w:tcBorders>
              <w:top w:val="nil"/>
              <w:left w:val="nil"/>
              <w:right w:val="nil"/>
            </w:tcBorders>
            <w:shd w:val="clear" w:color="000000" w:fill="F2F2F2"/>
            <w:vAlign w:val="center"/>
          </w:tcPr>
          <w:p w14:paraId="7B468C4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308</w:t>
            </w:r>
          </w:p>
        </w:tc>
        <w:tc>
          <w:tcPr>
            <w:tcW w:w="737" w:type="dxa"/>
            <w:tcBorders>
              <w:top w:val="nil"/>
              <w:left w:val="nil"/>
              <w:right w:val="nil"/>
            </w:tcBorders>
            <w:shd w:val="clear" w:color="000000" w:fill="F2F2F2"/>
            <w:vAlign w:val="center"/>
          </w:tcPr>
          <w:p w14:paraId="5C7FBF9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299</w:t>
            </w:r>
          </w:p>
        </w:tc>
        <w:tc>
          <w:tcPr>
            <w:tcW w:w="918" w:type="dxa"/>
            <w:tcBorders>
              <w:top w:val="nil"/>
              <w:left w:val="nil"/>
              <w:right w:val="nil"/>
            </w:tcBorders>
            <w:shd w:val="clear" w:color="000000" w:fill="F2F2F2"/>
            <w:vAlign w:val="center"/>
          </w:tcPr>
          <w:p w14:paraId="2BE5777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281</w:t>
            </w:r>
          </w:p>
        </w:tc>
        <w:tc>
          <w:tcPr>
            <w:tcW w:w="857" w:type="dxa"/>
            <w:gridSpan w:val="2"/>
            <w:tcBorders>
              <w:top w:val="nil"/>
              <w:left w:val="nil"/>
              <w:right w:val="nil"/>
            </w:tcBorders>
            <w:shd w:val="clear" w:color="000000" w:fill="F2F2F2"/>
            <w:vAlign w:val="center"/>
          </w:tcPr>
          <w:p w14:paraId="1D25F7B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292</w:t>
            </w:r>
          </w:p>
        </w:tc>
      </w:tr>
      <w:tr w:rsidR="0002360D" w:rsidRPr="005946C5" w14:paraId="2243CC4C" w14:textId="77777777" w:rsidTr="00ED10B2">
        <w:trPr>
          <w:trHeight w:val="283"/>
          <w:jc w:val="center"/>
        </w:trPr>
        <w:tc>
          <w:tcPr>
            <w:tcW w:w="680" w:type="dxa"/>
            <w:tcBorders>
              <w:left w:val="nil"/>
              <w:right w:val="nil"/>
            </w:tcBorders>
            <w:shd w:val="clear" w:color="000000" w:fill="F2F2F2"/>
            <w:vAlign w:val="center"/>
          </w:tcPr>
          <w:p w14:paraId="45F84B8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w:t>
            </w:r>
          </w:p>
        </w:tc>
        <w:tc>
          <w:tcPr>
            <w:tcW w:w="737" w:type="dxa"/>
            <w:tcBorders>
              <w:left w:val="nil"/>
              <w:right w:val="nil"/>
            </w:tcBorders>
            <w:shd w:val="clear" w:color="000000" w:fill="F2F2F2"/>
            <w:vAlign w:val="center"/>
          </w:tcPr>
          <w:p w14:paraId="617567B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163</w:t>
            </w:r>
          </w:p>
        </w:tc>
        <w:tc>
          <w:tcPr>
            <w:tcW w:w="737" w:type="dxa"/>
            <w:tcBorders>
              <w:left w:val="nil"/>
              <w:right w:val="nil"/>
            </w:tcBorders>
            <w:shd w:val="clear" w:color="000000" w:fill="F2F2F2"/>
            <w:vAlign w:val="center"/>
          </w:tcPr>
          <w:p w14:paraId="70186E6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134</w:t>
            </w:r>
          </w:p>
        </w:tc>
        <w:tc>
          <w:tcPr>
            <w:tcW w:w="737" w:type="dxa"/>
            <w:tcBorders>
              <w:left w:val="nil"/>
              <w:right w:val="nil"/>
            </w:tcBorders>
            <w:shd w:val="clear" w:color="000000" w:fill="F2F2F2"/>
            <w:vAlign w:val="center"/>
          </w:tcPr>
          <w:p w14:paraId="74507BF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161</w:t>
            </w:r>
          </w:p>
        </w:tc>
        <w:tc>
          <w:tcPr>
            <w:tcW w:w="737" w:type="dxa"/>
            <w:tcBorders>
              <w:left w:val="nil"/>
              <w:right w:val="nil"/>
            </w:tcBorders>
            <w:shd w:val="clear" w:color="000000" w:fill="F2F2F2"/>
            <w:vAlign w:val="center"/>
          </w:tcPr>
          <w:p w14:paraId="4EAFEFF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169</w:t>
            </w:r>
          </w:p>
        </w:tc>
        <w:tc>
          <w:tcPr>
            <w:tcW w:w="737" w:type="dxa"/>
            <w:tcBorders>
              <w:left w:val="nil"/>
              <w:right w:val="nil"/>
            </w:tcBorders>
            <w:shd w:val="clear" w:color="000000" w:fill="F2F2F2"/>
            <w:vAlign w:val="center"/>
          </w:tcPr>
          <w:p w14:paraId="4E95DD1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139</w:t>
            </w:r>
          </w:p>
        </w:tc>
        <w:tc>
          <w:tcPr>
            <w:tcW w:w="737" w:type="dxa"/>
            <w:tcBorders>
              <w:left w:val="nil"/>
              <w:right w:val="nil"/>
            </w:tcBorders>
            <w:shd w:val="clear" w:color="000000" w:fill="F2F2F2"/>
            <w:vAlign w:val="center"/>
          </w:tcPr>
          <w:p w14:paraId="664F15E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144</w:t>
            </w:r>
          </w:p>
        </w:tc>
        <w:tc>
          <w:tcPr>
            <w:tcW w:w="737" w:type="dxa"/>
            <w:tcBorders>
              <w:left w:val="nil"/>
              <w:right w:val="nil"/>
            </w:tcBorders>
            <w:shd w:val="clear" w:color="000000" w:fill="F2F2F2"/>
            <w:vAlign w:val="center"/>
          </w:tcPr>
          <w:p w14:paraId="0307AC9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168</w:t>
            </w:r>
          </w:p>
        </w:tc>
        <w:tc>
          <w:tcPr>
            <w:tcW w:w="737" w:type="dxa"/>
            <w:tcBorders>
              <w:left w:val="nil"/>
              <w:right w:val="nil"/>
            </w:tcBorders>
            <w:shd w:val="clear" w:color="000000" w:fill="F2F2F2"/>
            <w:vAlign w:val="center"/>
          </w:tcPr>
          <w:p w14:paraId="5873D6E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144</w:t>
            </w:r>
          </w:p>
        </w:tc>
        <w:tc>
          <w:tcPr>
            <w:tcW w:w="948" w:type="dxa"/>
            <w:tcBorders>
              <w:left w:val="nil"/>
              <w:right w:val="nil"/>
            </w:tcBorders>
            <w:shd w:val="clear" w:color="000000" w:fill="F2F2F2"/>
            <w:vAlign w:val="center"/>
          </w:tcPr>
          <w:p w14:paraId="6F07ED1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149</w:t>
            </w:r>
          </w:p>
        </w:tc>
        <w:tc>
          <w:tcPr>
            <w:tcW w:w="737" w:type="dxa"/>
            <w:tcBorders>
              <w:left w:val="nil"/>
              <w:right w:val="nil"/>
            </w:tcBorders>
            <w:shd w:val="clear" w:color="000000" w:fill="F2F2F2"/>
            <w:vAlign w:val="center"/>
          </w:tcPr>
          <w:p w14:paraId="1E1EF99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140</w:t>
            </w:r>
          </w:p>
        </w:tc>
        <w:tc>
          <w:tcPr>
            <w:tcW w:w="918" w:type="dxa"/>
            <w:tcBorders>
              <w:left w:val="nil"/>
              <w:right w:val="nil"/>
            </w:tcBorders>
            <w:shd w:val="clear" w:color="000000" w:fill="F2F2F2"/>
            <w:vAlign w:val="center"/>
          </w:tcPr>
          <w:p w14:paraId="255A3AA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182</w:t>
            </w:r>
          </w:p>
        </w:tc>
        <w:tc>
          <w:tcPr>
            <w:tcW w:w="857" w:type="dxa"/>
            <w:gridSpan w:val="2"/>
            <w:tcBorders>
              <w:left w:val="nil"/>
              <w:right w:val="nil"/>
            </w:tcBorders>
            <w:shd w:val="clear" w:color="000000" w:fill="F2F2F2"/>
            <w:vAlign w:val="center"/>
          </w:tcPr>
          <w:p w14:paraId="1187D00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141</w:t>
            </w:r>
          </w:p>
        </w:tc>
      </w:tr>
      <w:tr w:rsidR="0002360D" w:rsidRPr="005946C5" w14:paraId="756216BA" w14:textId="77777777" w:rsidTr="00ED10B2">
        <w:trPr>
          <w:trHeight w:val="283"/>
          <w:jc w:val="center"/>
        </w:trPr>
        <w:tc>
          <w:tcPr>
            <w:tcW w:w="680" w:type="dxa"/>
            <w:tcBorders>
              <w:left w:val="nil"/>
              <w:right w:val="nil"/>
            </w:tcBorders>
            <w:shd w:val="clear" w:color="000000" w:fill="F2F2F2"/>
            <w:vAlign w:val="center"/>
          </w:tcPr>
          <w:p w14:paraId="1E0144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w:t>
            </w:r>
          </w:p>
        </w:tc>
        <w:tc>
          <w:tcPr>
            <w:tcW w:w="737" w:type="dxa"/>
            <w:tcBorders>
              <w:left w:val="nil"/>
              <w:right w:val="nil"/>
            </w:tcBorders>
            <w:shd w:val="clear" w:color="000000" w:fill="F2F2F2"/>
            <w:vAlign w:val="center"/>
          </w:tcPr>
          <w:p w14:paraId="31BAE60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153</w:t>
            </w:r>
          </w:p>
        </w:tc>
        <w:tc>
          <w:tcPr>
            <w:tcW w:w="737" w:type="dxa"/>
            <w:tcBorders>
              <w:left w:val="nil"/>
              <w:right w:val="nil"/>
            </w:tcBorders>
            <w:shd w:val="clear" w:color="000000" w:fill="F2F2F2"/>
            <w:vAlign w:val="center"/>
          </w:tcPr>
          <w:p w14:paraId="6A16EF3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176</w:t>
            </w:r>
          </w:p>
        </w:tc>
        <w:tc>
          <w:tcPr>
            <w:tcW w:w="737" w:type="dxa"/>
            <w:tcBorders>
              <w:left w:val="nil"/>
              <w:right w:val="nil"/>
            </w:tcBorders>
            <w:shd w:val="clear" w:color="000000" w:fill="F2F2F2"/>
            <w:vAlign w:val="center"/>
          </w:tcPr>
          <w:p w14:paraId="0CE4AB1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176</w:t>
            </w:r>
          </w:p>
        </w:tc>
        <w:tc>
          <w:tcPr>
            <w:tcW w:w="737" w:type="dxa"/>
            <w:tcBorders>
              <w:left w:val="nil"/>
              <w:right w:val="nil"/>
            </w:tcBorders>
            <w:shd w:val="clear" w:color="000000" w:fill="F2F2F2"/>
            <w:vAlign w:val="center"/>
          </w:tcPr>
          <w:p w14:paraId="3B84401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159</w:t>
            </w:r>
          </w:p>
        </w:tc>
        <w:tc>
          <w:tcPr>
            <w:tcW w:w="737" w:type="dxa"/>
            <w:tcBorders>
              <w:left w:val="nil"/>
              <w:right w:val="nil"/>
            </w:tcBorders>
            <w:shd w:val="clear" w:color="000000" w:fill="F2F2F2"/>
            <w:vAlign w:val="center"/>
          </w:tcPr>
          <w:p w14:paraId="5B9C593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166</w:t>
            </w:r>
          </w:p>
        </w:tc>
        <w:tc>
          <w:tcPr>
            <w:tcW w:w="737" w:type="dxa"/>
            <w:tcBorders>
              <w:left w:val="nil"/>
              <w:right w:val="nil"/>
            </w:tcBorders>
            <w:shd w:val="clear" w:color="000000" w:fill="F2F2F2"/>
            <w:vAlign w:val="center"/>
          </w:tcPr>
          <w:p w14:paraId="1816CA0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172</w:t>
            </w:r>
          </w:p>
        </w:tc>
        <w:tc>
          <w:tcPr>
            <w:tcW w:w="737" w:type="dxa"/>
            <w:tcBorders>
              <w:left w:val="nil"/>
              <w:right w:val="nil"/>
            </w:tcBorders>
            <w:shd w:val="clear" w:color="000000" w:fill="F2F2F2"/>
            <w:vAlign w:val="center"/>
          </w:tcPr>
          <w:p w14:paraId="3D503EF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158</w:t>
            </w:r>
          </w:p>
        </w:tc>
        <w:tc>
          <w:tcPr>
            <w:tcW w:w="737" w:type="dxa"/>
            <w:tcBorders>
              <w:left w:val="nil"/>
              <w:right w:val="nil"/>
            </w:tcBorders>
            <w:shd w:val="clear" w:color="000000" w:fill="F2F2F2"/>
            <w:vAlign w:val="center"/>
          </w:tcPr>
          <w:p w14:paraId="4A8D33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173</w:t>
            </w:r>
          </w:p>
        </w:tc>
        <w:tc>
          <w:tcPr>
            <w:tcW w:w="948" w:type="dxa"/>
            <w:tcBorders>
              <w:left w:val="nil"/>
              <w:right w:val="nil"/>
            </w:tcBorders>
            <w:shd w:val="clear" w:color="000000" w:fill="F2F2F2"/>
            <w:vAlign w:val="center"/>
          </w:tcPr>
          <w:p w14:paraId="25F7A31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178</w:t>
            </w:r>
          </w:p>
        </w:tc>
        <w:tc>
          <w:tcPr>
            <w:tcW w:w="737" w:type="dxa"/>
            <w:tcBorders>
              <w:left w:val="nil"/>
              <w:right w:val="nil"/>
            </w:tcBorders>
            <w:shd w:val="clear" w:color="000000" w:fill="F2F2F2"/>
            <w:vAlign w:val="center"/>
          </w:tcPr>
          <w:p w14:paraId="2838875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137</w:t>
            </w:r>
          </w:p>
        </w:tc>
        <w:tc>
          <w:tcPr>
            <w:tcW w:w="918" w:type="dxa"/>
            <w:tcBorders>
              <w:left w:val="nil"/>
              <w:right w:val="nil"/>
            </w:tcBorders>
            <w:shd w:val="clear" w:color="000000" w:fill="F2F2F2"/>
            <w:vAlign w:val="center"/>
          </w:tcPr>
          <w:p w14:paraId="1BABFFB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199</w:t>
            </w:r>
          </w:p>
        </w:tc>
        <w:tc>
          <w:tcPr>
            <w:tcW w:w="857" w:type="dxa"/>
            <w:gridSpan w:val="2"/>
            <w:tcBorders>
              <w:left w:val="nil"/>
              <w:right w:val="nil"/>
            </w:tcBorders>
            <w:shd w:val="clear" w:color="000000" w:fill="F2F2F2"/>
            <w:vAlign w:val="center"/>
          </w:tcPr>
          <w:p w14:paraId="307E391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169</w:t>
            </w:r>
          </w:p>
        </w:tc>
      </w:tr>
      <w:tr w:rsidR="0002360D" w:rsidRPr="005946C5" w14:paraId="7B5BC933" w14:textId="77777777" w:rsidTr="00ED10B2">
        <w:trPr>
          <w:trHeight w:val="283"/>
          <w:jc w:val="center"/>
        </w:trPr>
        <w:tc>
          <w:tcPr>
            <w:tcW w:w="680" w:type="dxa"/>
            <w:tcBorders>
              <w:left w:val="nil"/>
              <w:right w:val="nil"/>
            </w:tcBorders>
            <w:shd w:val="clear" w:color="000000" w:fill="F2F2F2"/>
            <w:vAlign w:val="center"/>
          </w:tcPr>
          <w:p w14:paraId="4F0ECDD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w:t>
            </w:r>
          </w:p>
        </w:tc>
        <w:tc>
          <w:tcPr>
            <w:tcW w:w="737" w:type="dxa"/>
            <w:tcBorders>
              <w:left w:val="nil"/>
              <w:right w:val="nil"/>
            </w:tcBorders>
            <w:shd w:val="clear" w:color="000000" w:fill="F2F2F2"/>
            <w:vAlign w:val="center"/>
          </w:tcPr>
          <w:p w14:paraId="05FA824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223</w:t>
            </w:r>
          </w:p>
        </w:tc>
        <w:tc>
          <w:tcPr>
            <w:tcW w:w="737" w:type="dxa"/>
            <w:tcBorders>
              <w:left w:val="nil"/>
              <w:right w:val="nil"/>
            </w:tcBorders>
            <w:shd w:val="clear" w:color="000000" w:fill="F2F2F2"/>
            <w:vAlign w:val="center"/>
          </w:tcPr>
          <w:p w14:paraId="7665805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268</w:t>
            </w:r>
          </w:p>
        </w:tc>
        <w:tc>
          <w:tcPr>
            <w:tcW w:w="737" w:type="dxa"/>
            <w:tcBorders>
              <w:left w:val="nil"/>
              <w:right w:val="nil"/>
            </w:tcBorders>
            <w:shd w:val="clear" w:color="000000" w:fill="F2F2F2"/>
            <w:vAlign w:val="center"/>
          </w:tcPr>
          <w:p w14:paraId="2EFA591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228</w:t>
            </w:r>
          </w:p>
        </w:tc>
        <w:tc>
          <w:tcPr>
            <w:tcW w:w="737" w:type="dxa"/>
            <w:tcBorders>
              <w:left w:val="nil"/>
              <w:right w:val="nil"/>
            </w:tcBorders>
            <w:shd w:val="clear" w:color="000000" w:fill="F2F2F2"/>
            <w:vAlign w:val="center"/>
          </w:tcPr>
          <w:p w14:paraId="5537763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232</w:t>
            </w:r>
          </w:p>
        </w:tc>
        <w:tc>
          <w:tcPr>
            <w:tcW w:w="737" w:type="dxa"/>
            <w:tcBorders>
              <w:left w:val="nil"/>
              <w:right w:val="nil"/>
            </w:tcBorders>
            <w:shd w:val="clear" w:color="000000" w:fill="F2F2F2"/>
            <w:vAlign w:val="center"/>
          </w:tcPr>
          <w:p w14:paraId="4BBF90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220</w:t>
            </w:r>
          </w:p>
        </w:tc>
        <w:tc>
          <w:tcPr>
            <w:tcW w:w="737" w:type="dxa"/>
            <w:tcBorders>
              <w:left w:val="nil"/>
              <w:right w:val="nil"/>
            </w:tcBorders>
            <w:shd w:val="clear" w:color="000000" w:fill="F2F2F2"/>
            <w:vAlign w:val="center"/>
          </w:tcPr>
          <w:p w14:paraId="0F249F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227</w:t>
            </w:r>
          </w:p>
        </w:tc>
        <w:tc>
          <w:tcPr>
            <w:tcW w:w="737" w:type="dxa"/>
            <w:tcBorders>
              <w:left w:val="nil"/>
              <w:right w:val="nil"/>
            </w:tcBorders>
            <w:shd w:val="clear" w:color="000000" w:fill="F2F2F2"/>
            <w:vAlign w:val="center"/>
          </w:tcPr>
          <w:p w14:paraId="0B03688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231</w:t>
            </w:r>
          </w:p>
        </w:tc>
        <w:tc>
          <w:tcPr>
            <w:tcW w:w="737" w:type="dxa"/>
            <w:tcBorders>
              <w:left w:val="nil"/>
              <w:right w:val="nil"/>
            </w:tcBorders>
            <w:shd w:val="clear" w:color="000000" w:fill="F2F2F2"/>
            <w:vAlign w:val="center"/>
          </w:tcPr>
          <w:p w14:paraId="1CCE4C3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229</w:t>
            </w:r>
          </w:p>
        </w:tc>
        <w:tc>
          <w:tcPr>
            <w:tcW w:w="948" w:type="dxa"/>
            <w:tcBorders>
              <w:left w:val="nil"/>
              <w:right w:val="nil"/>
            </w:tcBorders>
            <w:shd w:val="clear" w:color="000000" w:fill="F2F2F2"/>
            <w:vAlign w:val="center"/>
          </w:tcPr>
          <w:p w14:paraId="314F1B9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236</w:t>
            </w:r>
          </w:p>
        </w:tc>
        <w:tc>
          <w:tcPr>
            <w:tcW w:w="737" w:type="dxa"/>
            <w:tcBorders>
              <w:left w:val="nil"/>
              <w:right w:val="nil"/>
            </w:tcBorders>
            <w:shd w:val="clear" w:color="000000" w:fill="F2F2F2"/>
            <w:vAlign w:val="center"/>
          </w:tcPr>
          <w:p w14:paraId="42E27D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182</w:t>
            </w:r>
          </w:p>
        </w:tc>
        <w:tc>
          <w:tcPr>
            <w:tcW w:w="918" w:type="dxa"/>
            <w:tcBorders>
              <w:left w:val="nil"/>
              <w:right w:val="nil"/>
            </w:tcBorders>
            <w:shd w:val="clear" w:color="000000" w:fill="F2F2F2"/>
            <w:vAlign w:val="center"/>
          </w:tcPr>
          <w:p w14:paraId="0602A95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257</w:t>
            </w:r>
          </w:p>
        </w:tc>
        <w:tc>
          <w:tcPr>
            <w:tcW w:w="857" w:type="dxa"/>
            <w:gridSpan w:val="2"/>
            <w:tcBorders>
              <w:left w:val="nil"/>
              <w:right w:val="nil"/>
            </w:tcBorders>
            <w:shd w:val="clear" w:color="000000" w:fill="F2F2F2"/>
            <w:vAlign w:val="center"/>
          </w:tcPr>
          <w:p w14:paraId="2F26B78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223</w:t>
            </w:r>
          </w:p>
        </w:tc>
      </w:tr>
      <w:tr w:rsidR="0002360D" w:rsidRPr="005946C5" w14:paraId="6BBDDC3D" w14:textId="77777777" w:rsidTr="00ED10B2">
        <w:trPr>
          <w:trHeight w:val="283"/>
          <w:jc w:val="center"/>
        </w:trPr>
        <w:tc>
          <w:tcPr>
            <w:tcW w:w="680" w:type="dxa"/>
            <w:tcBorders>
              <w:left w:val="nil"/>
              <w:right w:val="nil"/>
            </w:tcBorders>
            <w:shd w:val="clear" w:color="000000" w:fill="F2F2F2"/>
            <w:vAlign w:val="center"/>
          </w:tcPr>
          <w:p w14:paraId="0B429F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w:t>
            </w:r>
          </w:p>
        </w:tc>
        <w:tc>
          <w:tcPr>
            <w:tcW w:w="737" w:type="dxa"/>
            <w:tcBorders>
              <w:left w:val="nil"/>
              <w:right w:val="nil"/>
            </w:tcBorders>
            <w:shd w:val="clear" w:color="000000" w:fill="F2F2F2"/>
            <w:vAlign w:val="center"/>
          </w:tcPr>
          <w:p w14:paraId="15FACDC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360</w:t>
            </w:r>
          </w:p>
        </w:tc>
        <w:tc>
          <w:tcPr>
            <w:tcW w:w="737" w:type="dxa"/>
            <w:tcBorders>
              <w:left w:val="nil"/>
              <w:right w:val="nil"/>
            </w:tcBorders>
            <w:shd w:val="clear" w:color="000000" w:fill="F2F2F2"/>
            <w:vAlign w:val="center"/>
          </w:tcPr>
          <w:p w14:paraId="51B4260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561</w:t>
            </w:r>
          </w:p>
        </w:tc>
        <w:tc>
          <w:tcPr>
            <w:tcW w:w="737" w:type="dxa"/>
            <w:tcBorders>
              <w:left w:val="nil"/>
              <w:right w:val="nil"/>
            </w:tcBorders>
            <w:shd w:val="clear" w:color="000000" w:fill="F2F2F2"/>
            <w:vAlign w:val="center"/>
          </w:tcPr>
          <w:p w14:paraId="0722B36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375</w:t>
            </w:r>
          </w:p>
        </w:tc>
        <w:tc>
          <w:tcPr>
            <w:tcW w:w="737" w:type="dxa"/>
            <w:tcBorders>
              <w:left w:val="nil"/>
              <w:right w:val="nil"/>
            </w:tcBorders>
            <w:shd w:val="clear" w:color="000000" w:fill="F2F2F2"/>
            <w:vAlign w:val="center"/>
          </w:tcPr>
          <w:p w14:paraId="594860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374</w:t>
            </w:r>
          </w:p>
        </w:tc>
        <w:tc>
          <w:tcPr>
            <w:tcW w:w="737" w:type="dxa"/>
            <w:tcBorders>
              <w:left w:val="nil"/>
              <w:right w:val="nil"/>
            </w:tcBorders>
            <w:shd w:val="clear" w:color="000000" w:fill="F2F2F2"/>
            <w:vAlign w:val="center"/>
          </w:tcPr>
          <w:p w14:paraId="48B8C2D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357</w:t>
            </w:r>
          </w:p>
        </w:tc>
        <w:tc>
          <w:tcPr>
            <w:tcW w:w="737" w:type="dxa"/>
            <w:tcBorders>
              <w:left w:val="nil"/>
              <w:right w:val="nil"/>
            </w:tcBorders>
            <w:shd w:val="clear" w:color="000000" w:fill="F2F2F2"/>
            <w:vAlign w:val="center"/>
          </w:tcPr>
          <w:p w14:paraId="7317BA0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370</w:t>
            </w:r>
          </w:p>
        </w:tc>
        <w:tc>
          <w:tcPr>
            <w:tcW w:w="737" w:type="dxa"/>
            <w:tcBorders>
              <w:left w:val="nil"/>
              <w:right w:val="nil"/>
            </w:tcBorders>
            <w:shd w:val="clear" w:color="000000" w:fill="F2F2F2"/>
            <w:vAlign w:val="center"/>
          </w:tcPr>
          <w:p w14:paraId="7048650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372</w:t>
            </w:r>
          </w:p>
        </w:tc>
        <w:tc>
          <w:tcPr>
            <w:tcW w:w="737" w:type="dxa"/>
            <w:tcBorders>
              <w:left w:val="nil"/>
              <w:right w:val="nil"/>
            </w:tcBorders>
            <w:shd w:val="clear" w:color="000000" w:fill="F2F2F2"/>
            <w:vAlign w:val="center"/>
          </w:tcPr>
          <w:p w14:paraId="24597AB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372</w:t>
            </w:r>
          </w:p>
        </w:tc>
        <w:tc>
          <w:tcPr>
            <w:tcW w:w="948" w:type="dxa"/>
            <w:tcBorders>
              <w:left w:val="nil"/>
              <w:right w:val="nil"/>
            </w:tcBorders>
            <w:shd w:val="clear" w:color="000000" w:fill="F2F2F2"/>
            <w:vAlign w:val="center"/>
          </w:tcPr>
          <w:p w14:paraId="17C593F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383</w:t>
            </w:r>
          </w:p>
        </w:tc>
        <w:tc>
          <w:tcPr>
            <w:tcW w:w="737" w:type="dxa"/>
            <w:tcBorders>
              <w:left w:val="nil"/>
              <w:right w:val="nil"/>
            </w:tcBorders>
            <w:shd w:val="clear" w:color="000000" w:fill="F2F2F2"/>
            <w:vAlign w:val="center"/>
          </w:tcPr>
          <w:p w14:paraId="11CA9AF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354</w:t>
            </w:r>
          </w:p>
        </w:tc>
        <w:tc>
          <w:tcPr>
            <w:tcW w:w="918" w:type="dxa"/>
            <w:tcBorders>
              <w:left w:val="nil"/>
              <w:right w:val="nil"/>
            </w:tcBorders>
            <w:shd w:val="clear" w:color="000000" w:fill="F2F2F2"/>
            <w:vAlign w:val="center"/>
          </w:tcPr>
          <w:p w14:paraId="24A7B19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424</w:t>
            </w:r>
          </w:p>
        </w:tc>
        <w:tc>
          <w:tcPr>
            <w:tcW w:w="857" w:type="dxa"/>
            <w:gridSpan w:val="2"/>
            <w:tcBorders>
              <w:left w:val="nil"/>
              <w:right w:val="nil"/>
            </w:tcBorders>
            <w:shd w:val="clear" w:color="000000" w:fill="F2F2F2"/>
            <w:vAlign w:val="center"/>
          </w:tcPr>
          <w:p w14:paraId="5055197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363</w:t>
            </w:r>
          </w:p>
        </w:tc>
      </w:tr>
      <w:tr w:rsidR="0002360D" w:rsidRPr="005946C5" w14:paraId="2284BDD4" w14:textId="77777777" w:rsidTr="00ED10B2">
        <w:trPr>
          <w:trHeight w:val="283"/>
          <w:jc w:val="center"/>
        </w:trPr>
        <w:tc>
          <w:tcPr>
            <w:tcW w:w="680" w:type="dxa"/>
            <w:tcBorders>
              <w:left w:val="nil"/>
              <w:right w:val="nil"/>
            </w:tcBorders>
            <w:shd w:val="clear" w:color="000000" w:fill="F2F2F2"/>
            <w:vAlign w:val="center"/>
          </w:tcPr>
          <w:p w14:paraId="6DB708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w:t>
            </w:r>
          </w:p>
        </w:tc>
        <w:tc>
          <w:tcPr>
            <w:tcW w:w="737" w:type="dxa"/>
            <w:tcBorders>
              <w:left w:val="nil"/>
              <w:right w:val="nil"/>
            </w:tcBorders>
            <w:shd w:val="clear" w:color="000000" w:fill="F2F2F2"/>
            <w:vAlign w:val="center"/>
          </w:tcPr>
          <w:p w14:paraId="21C7FF4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410</w:t>
            </w:r>
          </w:p>
        </w:tc>
        <w:tc>
          <w:tcPr>
            <w:tcW w:w="737" w:type="dxa"/>
            <w:tcBorders>
              <w:left w:val="nil"/>
              <w:right w:val="nil"/>
            </w:tcBorders>
            <w:shd w:val="clear" w:color="000000" w:fill="F2F2F2"/>
            <w:vAlign w:val="center"/>
          </w:tcPr>
          <w:p w14:paraId="1099CCA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831</w:t>
            </w:r>
          </w:p>
        </w:tc>
        <w:tc>
          <w:tcPr>
            <w:tcW w:w="737" w:type="dxa"/>
            <w:tcBorders>
              <w:left w:val="nil"/>
              <w:right w:val="nil"/>
            </w:tcBorders>
            <w:shd w:val="clear" w:color="000000" w:fill="F2F2F2"/>
            <w:vAlign w:val="center"/>
          </w:tcPr>
          <w:p w14:paraId="774D8F9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488</w:t>
            </w:r>
          </w:p>
        </w:tc>
        <w:tc>
          <w:tcPr>
            <w:tcW w:w="737" w:type="dxa"/>
            <w:tcBorders>
              <w:left w:val="nil"/>
              <w:right w:val="nil"/>
            </w:tcBorders>
            <w:shd w:val="clear" w:color="000000" w:fill="F2F2F2"/>
            <w:vAlign w:val="center"/>
          </w:tcPr>
          <w:p w14:paraId="758A7B0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426</w:t>
            </w:r>
          </w:p>
        </w:tc>
        <w:tc>
          <w:tcPr>
            <w:tcW w:w="737" w:type="dxa"/>
            <w:tcBorders>
              <w:left w:val="nil"/>
              <w:right w:val="nil"/>
            </w:tcBorders>
            <w:shd w:val="clear" w:color="000000" w:fill="F2F2F2"/>
            <w:vAlign w:val="center"/>
          </w:tcPr>
          <w:p w14:paraId="5C9EC0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447</w:t>
            </w:r>
          </w:p>
        </w:tc>
        <w:tc>
          <w:tcPr>
            <w:tcW w:w="737" w:type="dxa"/>
            <w:tcBorders>
              <w:left w:val="nil"/>
              <w:right w:val="nil"/>
            </w:tcBorders>
            <w:shd w:val="clear" w:color="000000" w:fill="F2F2F2"/>
            <w:vAlign w:val="center"/>
          </w:tcPr>
          <w:p w14:paraId="5147981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463</w:t>
            </w:r>
          </w:p>
        </w:tc>
        <w:tc>
          <w:tcPr>
            <w:tcW w:w="737" w:type="dxa"/>
            <w:tcBorders>
              <w:left w:val="nil"/>
              <w:right w:val="nil"/>
            </w:tcBorders>
            <w:shd w:val="clear" w:color="000000" w:fill="F2F2F2"/>
            <w:vAlign w:val="center"/>
          </w:tcPr>
          <w:p w14:paraId="42A37DE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423</w:t>
            </w:r>
          </w:p>
        </w:tc>
        <w:tc>
          <w:tcPr>
            <w:tcW w:w="737" w:type="dxa"/>
            <w:tcBorders>
              <w:left w:val="nil"/>
              <w:right w:val="nil"/>
            </w:tcBorders>
            <w:shd w:val="clear" w:color="000000" w:fill="F2F2F2"/>
            <w:vAlign w:val="center"/>
          </w:tcPr>
          <w:p w14:paraId="1522F4C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465</w:t>
            </w:r>
          </w:p>
        </w:tc>
        <w:tc>
          <w:tcPr>
            <w:tcW w:w="948" w:type="dxa"/>
            <w:tcBorders>
              <w:left w:val="nil"/>
              <w:right w:val="nil"/>
            </w:tcBorders>
            <w:shd w:val="clear" w:color="000000" w:fill="F2F2F2"/>
            <w:vAlign w:val="center"/>
          </w:tcPr>
          <w:p w14:paraId="7915E7B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479</w:t>
            </w:r>
          </w:p>
        </w:tc>
        <w:tc>
          <w:tcPr>
            <w:tcW w:w="737" w:type="dxa"/>
            <w:tcBorders>
              <w:left w:val="nil"/>
              <w:right w:val="nil"/>
            </w:tcBorders>
            <w:shd w:val="clear" w:color="000000" w:fill="F2F2F2"/>
            <w:vAlign w:val="center"/>
          </w:tcPr>
          <w:p w14:paraId="5867146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417</w:t>
            </w:r>
          </w:p>
        </w:tc>
        <w:tc>
          <w:tcPr>
            <w:tcW w:w="918" w:type="dxa"/>
            <w:tcBorders>
              <w:left w:val="nil"/>
              <w:right w:val="nil"/>
            </w:tcBorders>
            <w:shd w:val="clear" w:color="000000" w:fill="F2F2F2"/>
            <w:vAlign w:val="center"/>
          </w:tcPr>
          <w:p w14:paraId="05865A7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552</w:t>
            </w:r>
          </w:p>
        </w:tc>
        <w:tc>
          <w:tcPr>
            <w:tcW w:w="857" w:type="dxa"/>
            <w:gridSpan w:val="2"/>
            <w:tcBorders>
              <w:left w:val="nil"/>
              <w:right w:val="nil"/>
            </w:tcBorders>
            <w:shd w:val="clear" w:color="000000" w:fill="F2F2F2"/>
            <w:vAlign w:val="center"/>
          </w:tcPr>
          <w:p w14:paraId="0E49065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454</w:t>
            </w:r>
          </w:p>
        </w:tc>
      </w:tr>
      <w:tr w:rsidR="0002360D" w:rsidRPr="005946C5" w14:paraId="76C274FE" w14:textId="77777777" w:rsidTr="00ED10B2">
        <w:trPr>
          <w:trHeight w:val="283"/>
          <w:jc w:val="center"/>
        </w:trPr>
        <w:tc>
          <w:tcPr>
            <w:tcW w:w="680" w:type="dxa"/>
            <w:tcBorders>
              <w:left w:val="nil"/>
              <w:right w:val="nil"/>
            </w:tcBorders>
            <w:shd w:val="clear" w:color="000000" w:fill="F2F2F2"/>
            <w:vAlign w:val="center"/>
          </w:tcPr>
          <w:p w14:paraId="5973246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w:t>
            </w:r>
          </w:p>
        </w:tc>
        <w:tc>
          <w:tcPr>
            <w:tcW w:w="737" w:type="dxa"/>
            <w:tcBorders>
              <w:left w:val="nil"/>
              <w:right w:val="nil"/>
            </w:tcBorders>
            <w:shd w:val="clear" w:color="000000" w:fill="F2F2F2"/>
            <w:vAlign w:val="center"/>
          </w:tcPr>
          <w:p w14:paraId="3148CB6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587</w:t>
            </w:r>
          </w:p>
        </w:tc>
        <w:tc>
          <w:tcPr>
            <w:tcW w:w="737" w:type="dxa"/>
            <w:tcBorders>
              <w:left w:val="nil"/>
              <w:right w:val="nil"/>
            </w:tcBorders>
            <w:shd w:val="clear" w:color="000000" w:fill="F2F2F2"/>
            <w:vAlign w:val="center"/>
          </w:tcPr>
          <w:p w14:paraId="50B0008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1,272</w:t>
            </w:r>
          </w:p>
        </w:tc>
        <w:tc>
          <w:tcPr>
            <w:tcW w:w="737" w:type="dxa"/>
            <w:tcBorders>
              <w:left w:val="nil"/>
              <w:right w:val="nil"/>
            </w:tcBorders>
            <w:shd w:val="clear" w:color="000000" w:fill="F2F2F2"/>
            <w:vAlign w:val="center"/>
          </w:tcPr>
          <w:p w14:paraId="0B118AF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749</w:t>
            </w:r>
          </w:p>
        </w:tc>
        <w:tc>
          <w:tcPr>
            <w:tcW w:w="737" w:type="dxa"/>
            <w:tcBorders>
              <w:left w:val="nil"/>
              <w:right w:val="nil"/>
            </w:tcBorders>
            <w:shd w:val="clear" w:color="000000" w:fill="F2F2F2"/>
            <w:vAlign w:val="center"/>
          </w:tcPr>
          <w:p w14:paraId="3B0D27F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610</w:t>
            </w:r>
          </w:p>
        </w:tc>
        <w:tc>
          <w:tcPr>
            <w:tcW w:w="737" w:type="dxa"/>
            <w:tcBorders>
              <w:left w:val="nil"/>
              <w:right w:val="nil"/>
            </w:tcBorders>
            <w:shd w:val="clear" w:color="000000" w:fill="F2F2F2"/>
            <w:vAlign w:val="center"/>
          </w:tcPr>
          <w:p w14:paraId="02C2B00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642</w:t>
            </w:r>
          </w:p>
        </w:tc>
        <w:tc>
          <w:tcPr>
            <w:tcW w:w="737" w:type="dxa"/>
            <w:tcBorders>
              <w:left w:val="nil"/>
              <w:right w:val="nil"/>
            </w:tcBorders>
            <w:shd w:val="clear" w:color="000000" w:fill="F2F2F2"/>
            <w:vAlign w:val="center"/>
          </w:tcPr>
          <w:p w14:paraId="01E6F39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665</w:t>
            </w:r>
          </w:p>
        </w:tc>
        <w:tc>
          <w:tcPr>
            <w:tcW w:w="737" w:type="dxa"/>
            <w:tcBorders>
              <w:left w:val="nil"/>
              <w:right w:val="nil"/>
            </w:tcBorders>
            <w:shd w:val="clear" w:color="000000" w:fill="F2F2F2"/>
            <w:vAlign w:val="center"/>
          </w:tcPr>
          <w:p w14:paraId="141B26C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606</w:t>
            </w:r>
          </w:p>
        </w:tc>
        <w:tc>
          <w:tcPr>
            <w:tcW w:w="737" w:type="dxa"/>
            <w:tcBorders>
              <w:left w:val="nil"/>
              <w:right w:val="nil"/>
            </w:tcBorders>
            <w:shd w:val="clear" w:color="000000" w:fill="F2F2F2"/>
            <w:vAlign w:val="center"/>
          </w:tcPr>
          <w:p w14:paraId="70AA3DC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668</w:t>
            </w:r>
          </w:p>
        </w:tc>
        <w:tc>
          <w:tcPr>
            <w:tcW w:w="948" w:type="dxa"/>
            <w:tcBorders>
              <w:left w:val="nil"/>
              <w:right w:val="nil"/>
            </w:tcBorders>
            <w:shd w:val="clear" w:color="000000" w:fill="F2F2F2"/>
            <w:vAlign w:val="center"/>
          </w:tcPr>
          <w:p w14:paraId="4E10F00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688</w:t>
            </w:r>
          </w:p>
        </w:tc>
        <w:tc>
          <w:tcPr>
            <w:tcW w:w="737" w:type="dxa"/>
            <w:tcBorders>
              <w:left w:val="nil"/>
              <w:right w:val="nil"/>
            </w:tcBorders>
            <w:shd w:val="clear" w:color="000000" w:fill="F2F2F2"/>
            <w:vAlign w:val="center"/>
          </w:tcPr>
          <w:p w14:paraId="7AD5F49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496</w:t>
            </w:r>
          </w:p>
        </w:tc>
        <w:tc>
          <w:tcPr>
            <w:tcW w:w="918" w:type="dxa"/>
            <w:tcBorders>
              <w:left w:val="nil"/>
              <w:right w:val="nil"/>
            </w:tcBorders>
            <w:shd w:val="clear" w:color="000000" w:fill="F2F2F2"/>
            <w:vAlign w:val="center"/>
          </w:tcPr>
          <w:p w14:paraId="7D163FB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847</w:t>
            </w:r>
          </w:p>
        </w:tc>
        <w:tc>
          <w:tcPr>
            <w:tcW w:w="857" w:type="dxa"/>
            <w:gridSpan w:val="2"/>
            <w:tcBorders>
              <w:left w:val="nil"/>
              <w:right w:val="nil"/>
            </w:tcBorders>
            <w:shd w:val="clear" w:color="000000" w:fill="F2F2F2"/>
            <w:vAlign w:val="center"/>
          </w:tcPr>
          <w:p w14:paraId="5996518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652</w:t>
            </w:r>
          </w:p>
        </w:tc>
      </w:tr>
      <w:tr w:rsidR="0002360D" w:rsidRPr="005946C5" w14:paraId="544DBC64" w14:textId="77777777" w:rsidTr="00ED10B2">
        <w:trPr>
          <w:trHeight w:val="283"/>
          <w:jc w:val="center"/>
        </w:trPr>
        <w:tc>
          <w:tcPr>
            <w:tcW w:w="680" w:type="dxa"/>
            <w:tcBorders>
              <w:left w:val="nil"/>
              <w:right w:val="nil"/>
            </w:tcBorders>
            <w:shd w:val="clear" w:color="000000" w:fill="F2F2F2"/>
            <w:vAlign w:val="center"/>
          </w:tcPr>
          <w:p w14:paraId="1D0F230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w:t>
            </w:r>
          </w:p>
        </w:tc>
        <w:tc>
          <w:tcPr>
            <w:tcW w:w="737" w:type="dxa"/>
            <w:tcBorders>
              <w:left w:val="nil"/>
              <w:right w:val="nil"/>
            </w:tcBorders>
            <w:shd w:val="clear" w:color="000000" w:fill="F2F2F2"/>
            <w:vAlign w:val="center"/>
          </w:tcPr>
          <w:p w14:paraId="68BF3C4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772</w:t>
            </w:r>
          </w:p>
        </w:tc>
        <w:tc>
          <w:tcPr>
            <w:tcW w:w="737" w:type="dxa"/>
            <w:tcBorders>
              <w:left w:val="nil"/>
              <w:right w:val="nil"/>
            </w:tcBorders>
            <w:shd w:val="clear" w:color="000000" w:fill="F2F2F2"/>
            <w:vAlign w:val="center"/>
          </w:tcPr>
          <w:p w14:paraId="0B7831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2,069</w:t>
            </w:r>
          </w:p>
        </w:tc>
        <w:tc>
          <w:tcPr>
            <w:tcW w:w="737" w:type="dxa"/>
            <w:tcBorders>
              <w:left w:val="nil"/>
              <w:right w:val="nil"/>
            </w:tcBorders>
            <w:shd w:val="clear" w:color="000000" w:fill="F2F2F2"/>
            <w:vAlign w:val="center"/>
          </w:tcPr>
          <w:p w14:paraId="1D1E668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1,227</w:t>
            </w:r>
          </w:p>
        </w:tc>
        <w:tc>
          <w:tcPr>
            <w:tcW w:w="737" w:type="dxa"/>
            <w:tcBorders>
              <w:left w:val="nil"/>
              <w:right w:val="nil"/>
            </w:tcBorders>
            <w:shd w:val="clear" w:color="000000" w:fill="F2F2F2"/>
            <w:vAlign w:val="center"/>
          </w:tcPr>
          <w:p w14:paraId="324FD7B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802</w:t>
            </w:r>
          </w:p>
        </w:tc>
        <w:tc>
          <w:tcPr>
            <w:tcW w:w="737" w:type="dxa"/>
            <w:tcBorders>
              <w:left w:val="nil"/>
              <w:right w:val="nil"/>
            </w:tcBorders>
            <w:shd w:val="clear" w:color="000000" w:fill="F2F2F2"/>
            <w:vAlign w:val="center"/>
          </w:tcPr>
          <w:p w14:paraId="3C13EB7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924</w:t>
            </w:r>
          </w:p>
        </w:tc>
        <w:tc>
          <w:tcPr>
            <w:tcW w:w="737" w:type="dxa"/>
            <w:tcBorders>
              <w:left w:val="nil"/>
              <w:right w:val="nil"/>
            </w:tcBorders>
            <w:shd w:val="clear" w:color="000000" w:fill="F2F2F2"/>
            <w:vAlign w:val="center"/>
          </w:tcPr>
          <w:p w14:paraId="633DE9F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956</w:t>
            </w:r>
          </w:p>
        </w:tc>
        <w:tc>
          <w:tcPr>
            <w:tcW w:w="737" w:type="dxa"/>
            <w:tcBorders>
              <w:left w:val="nil"/>
              <w:right w:val="nil"/>
            </w:tcBorders>
            <w:shd w:val="clear" w:color="000000" w:fill="F2F2F2"/>
            <w:vAlign w:val="center"/>
          </w:tcPr>
          <w:p w14:paraId="59463EA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798</w:t>
            </w:r>
          </w:p>
        </w:tc>
        <w:tc>
          <w:tcPr>
            <w:tcW w:w="737" w:type="dxa"/>
            <w:tcBorders>
              <w:left w:val="nil"/>
              <w:right w:val="nil"/>
            </w:tcBorders>
            <w:shd w:val="clear" w:color="000000" w:fill="F2F2F2"/>
            <w:vAlign w:val="center"/>
          </w:tcPr>
          <w:p w14:paraId="76DDE81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961</w:t>
            </w:r>
          </w:p>
        </w:tc>
        <w:tc>
          <w:tcPr>
            <w:tcW w:w="948" w:type="dxa"/>
            <w:tcBorders>
              <w:left w:val="nil"/>
              <w:right w:val="nil"/>
            </w:tcBorders>
            <w:shd w:val="clear" w:color="000000" w:fill="F2F2F2"/>
            <w:vAlign w:val="center"/>
          </w:tcPr>
          <w:p w14:paraId="3A1E151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991</w:t>
            </w:r>
          </w:p>
        </w:tc>
        <w:tc>
          <w:tcPr>
            <w:tcW w:w="737" w:type="dxa"/>
            <w:tcBorders>
              <w:left w:val="nil"/>
              <w:right w:val="nil"/>
            </w:tcBorders>
            <w:shd w:val="clear" w:color="000000" w:fill="F2F2F2"/>
            <w:vAlign w:val="center"/>
          </w:tcPr>
          <w:p w14:paraId="2F1B357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755</w:t>
            </w:r>
          </w:p>
        </w:tc>
        <w:tc>
          <w:tcPr>
            <w:tcW w:w="918" w:type="dxa"/>
            <w:tcBorders>
              <w:left w:val="nil"/>
              <w:right w:val="nil"/>
            </w:tcBorders>
            <w:shd w:val="clear" w:color="000000" w:fill="F2F2F2"/>
            <w:vAlign w:val="center"/>
          </w:tcPr>
          <w:p w14:paraId="41DF25F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1,386</w:t>
            </w:r>
          </w:p>
        </w:tc>
        <w:tc>
          <w:tcPr>
            <w:tcW w:w="857" w:type="dxa"/>
            <w:gridSpan w:val="2"/>
            <w:tcBorders>
              <w:left w:val="nil"/>
              <w:right w:val="nil"/>
            </w:tcBorders>
            <w:shd w:val="clear" w:color="000000" w:fill="F2F2F2"/>
            <w:vAlign w:val="center"/>
          </w:tcPr>
          <w:p w14:paraId="28BF773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939</w:t>
            </w:r>
          </w:p>
        </w:tc>
      </w:tr>
      <w:tr w:rsidR="0002360D" w:rsidRPr="005946C5" w14:paraId="15F133FF" w14:textId="77777777" w:rsidTr="00ED10B2">
        <w:trPr>
          <w:trHeight w:val="283"/>
          <w:jc w:val="center"/>
        </w:trPr>
        <w:tc>
          <w:tcPr>
            <w:tcW w:w="680" w:type="dxa"/>
            <w:tcBorders>
              <w:left w:val="nil"/>
              <w:right w:val="nil"/>
            </w:tcBorders>
            <w:shd w:val="clear" w:color="000000" w:fill="F2F2F2"/>
            <w:vAlign w:val="center"/>
          </w:tcPr>
          <w:p w14:paraId="45413DB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w:t>
            </w:r>
          </w:p>
        </w:tc>
        <w:tc>
          <w:tcPr>
            <w:tcW w:w="737" w:type="dxa"/>
            <w:tcBorders>
              <w:left w:val="nil"/>
              <w:right w:val="nil"/>
            </w:tcBorders>
            <w:shd w:val="clear" w:color="000000" w:fill="F2F2F2"/>
            <w:vAlign w:val="center"/>
          </w:tcPr>
          <w:p w14:paraId="72EA6DB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1,173</w:t>
            </w:r>
          </w:p>
        </w:tc>
        <w:tc>
          <w:tcPr>
            <w:tcW w:w="737" w:type="dxa"/>
            <w:tcBorders>
              <w:left w:val="nil"/>
              <w:right w:val="nil"/>
            </w:tcBorders>
            <w:shd w:val="clear" w:color="000000" w:fill="F2F2F2"/>
            <w:vAlign w:val="center"/>
          </w:tcPr>
          <w:p w14:paraId="267F576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4,150</w:t>
            </w:r>
          </w:p>
        </w:tc>
        <w:tc>
          <w:tcPr>
            <w:tcW w:w="737" w:type="dxa"/>
            <w:tcBorders>
              <w:left w:val="nil"/>
              <w:right w:val="nil"/>
            </w:tcBorders>
            <w:shd w:val="clear" w:color="000000" w:fill="F2F2F2"/>
            <w:vAlign w:val="center"/>
          </w:tcPr>
          <w:p w14:paraId="7E48C92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2,085</w:t>
            </w:r>
          </w:p>
        </w:tc>
        <w:tc>
          <w:tcPr>
            <w:tcW w:w="737" w:type="dxa"/>
            <w:tcBorders>
              <w:left w:val="nil"/>
              <w:right w:val="nil"/>
            </w:tcBorders>
            <w:shd w:val="clear" w:color="000000" w:fill="F2F2F2"/>
            <w:vAlign w:val="center"/>
          </w:tcPr>
          <w:p w14:paraId="4958F87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1,218</w:t>
            </w:r>
          </w:p>
        </w:tc>
        <w:tc>
          <w:tcPr>
            <w:tcW w:w="737" w:type="dxa"/>
            <w:tcBorders>
              <w:left w:val="nil"/>
              <w:right w:val="nil"/>
            </w:tcBorders>
            <w:shd w:val="clear" w:color="000000" w:fill="F2F2F2"/>
            <w:vAlign w:val="center"/>
          </w:tcPr>
          <w:p w14:paraId="7540C24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1,469</w:t>
            </w:r>
          </w:p>
        </w:tc>
        <w:tc>
          <w:tcPr>
            <w:tcW w:w="737" w:type="dxa"/>
            <w:tcBorders>
              <w:left w:val="nil"/>
              <w:right w:val="nil"/>
            </w:tcBorders>
            <w:shd w:val="clear" w:color="000000" w:fill="F2F2F2"/>
            <w:vAlign w:val="center"/>
          </w:tcPr>
          <w:p w14:paraId="5069D77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1,318</w:t>
            </w:r>
          </w:p>
        </w:tc>
        <w:tc>
          <w:tcPr>
            <w:tcW w:w="737" w:type="dxa"/>
            <w:tcBorders>
              <w:left w:val="nil"/>
              <w:right w:val="nil"/>
            </w:tcBorders>
            <w:shd w:val="clear" w:color="000000" w:fill="F2F2F2"/>
            <w:vAlign w:val="center"/>
          </w:tcPr>
          <w:p w14:paraId="077CAB2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1,212</w:t>
            </w:r>
          </w:p>
        </w:tc>
        <w:tc>
          <w:tcPr>
            <w:tcW w:w="737" w:type="dxa"/>
            <w:tcBorders>
              <w:left w:val="nil"/>
              <w:right w:val="nil"/>
            </w:tcBorders>
            <w:shd w:val="clear" w:color="000000" w:fill="F2F2F2"/>
            <w:vAlign w:val="center"/>
          </w:tcPr>
          <w:p w14:paraId="54BEE1B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1,529</w:t>
            </w:r>
          </w:p>
        </w:tc>
        <w:tc>
          <w:tcPr>
            <w:tcW w:w="948" w:type="dxa"/>
            <w:tcBorders>
              <w:left w:val="nil"/>
              <w:right w:val="nil"/>
            </w:tcBorders>
            <w:shd w:val="clear" w:color="000000" w:fill="F2F2F2"/>
            <w:vAlign w:val="center"/>
          </w:tcPr>
          <w:p w14:paraId="39E60E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1,396</w:t>
            </w:r>
          </w:p>
        </w:tc>
        <w:tc>
          <w:tcPr>
            <w:tcW w:w="737" w:type="dxa"/>
            <w:tcBorders>
              <w:left w:val="nil"/>
              <w:right w:val="nil"/>
            </w:tcBorders>
            <w:shd w:val="clear" w:color="000000" w:fill="F2F2F2"/>
            <w:vAlign w:val="center"/>
          </w:tcPr>
          <w:p w14:paraId="49C95F1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1,023</w:t>
            </w:r>
          </w:p>
        </w:tc>
        <w:tc>
          <w:tcPr>
            <w:tcW w:w="918" w:type="dxa"/>
            <w:tcBorders>
              <w:left w:val="nil"/>
              <w:right w:val="nil"/>
            </w:tcBorders>
            <w:shd w:val="clear" w:color="000000" w:fill="F2F2F2"/>
            <w:vAlign w:val="center"/>
          </w:tcPr>
          <w:p w14:paraId="4D50BDD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2,357</w:t>
            </w:r>
          </w:p>
        </w:tc>
        <w:tc>
          <w:tcPr>
            <w:tcW w:w="857" w:type="dxa"/>
            <w:gridSpan w:val="2"/>
            <w:tcBorders>
              <w:left w:val="nil"/>
              <w:right w:val="nil"/>
            </w:tcBorders>
            <w:shd w:val="clear" w:color="000000" w:fill="F2F2F2"/>
            <w:vAlign w:val="center"/>
          </w:tcPr>
          <w:p w14:paraId="2D905A9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1,323</w:t>
            </w:r>
          </w:p>
        </w:tc>
      </w:tr>
      <w:tr w:rsidR="0002360D" w:rsidRPr="005946C5" w14:paraId="211A774E" w14:textId="77777777" w:rsidTr="00ED10B2">
        <w:trPr>
          <w:trHeight w:val="283"/>
          <w:jc w:val="center"/>
        </w:trPr>
        <w:tc>
          <w:tcPr>
            <w:tcW w:w="680" w:type="dxa"/>
            <w:tcBorders>
              <w:left w:val="nil"/>
              <w:right w:val="nil"/>
            </w:tcBorders>
            <w:shd w:val="clear" w:color="000000" w:fill="F2F2F2"/>
            <w:vAlign w:val="center"/>
          </w:tcPr>
          <w:p w14:paraId="616473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w:t>
            </w:r>
          </w:p>
        </w:tc>
        <w:tc>
          <w:tcPr>
            <w:tcW w:w="737" w:type="dxa"/>
            <w:tcBorders>
              <w:left w:val="nil"/>
              <w:right w:val="nil"/>
            </w:tcBorders>
            <w:shd w:val="clear" w:color="000000" w:fill="F2F2F2"/>
            <w:vAlign w:val="center"/>
          </w:tcPr>
          <w:p w14:paraId="65BE926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2,053</w:t>
            </w:r>
          </w:p>
        </w:tc>
        <w:tc>
          <w:tcPr>
            <w:tcW w:w="737" w:type="dxa"/>
            <w:tcBorders>
              <w:left w:val="nil"/>
              <w:right w:val="nil"/>
            </w:tcBorders>
            <w:shd w:val="clear" w:color="000000" w:fill="F2F2F2"/>
            <w:vAlign w:val="center"/>
          </w:tcPr>
          <w:p w14:paraId="5B04139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10,313</w:t>
            </w:r>
          </w:p>
        </w:tc>
        <w:tc>
          <w:tcPr>
            <w:tcW w:w="737" w:type="dxa"/>
            <w:tcBorders>
              <w:left w:val="nil"/>
              <w:right w:val="nil"/>
            </w:tcBorders>
            <w:shd w:val="clear" w:color="000000" w:fill="F2F2F2"/>
            <w:vAlign w:val="center"/>
          </w:tcPr>
          <w:p w14:paraId="4670B0A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3,841</w:t>
            </w:r>
          </w:p>
        </w:tc>
        <w:tc>
          <w:tcPr>
            <w:tcW w:w="737" w:type="dxa"/>
            <w:tcBorders>
              <w:left w:val="nil"/>
              <w:right w:val="nil"/>
            </w:tcBorders>
            <w:shd w:val="clear" w:color="000000" w:fill="F2F2F2"/>
            <w:vAlign w:val="center"/>
          </w:tcPr>
          <w:p w14:paraId="6C36730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1,306</w:t>
            </w:r>
          </w:p>
        </w:tc>
        <w:tc>
          <w:tcPr>
            <w:tcW w:w="737" w:type="dxa"/>
            <w:tcBorders>
              <w:left w:val="nil"/>
              <w:right w:val="nil"/>
            </w:tcBorders>
            <w:shd w:val="clear" w:color="000000" w:fill="F2F2F2"/>
            <w:vAlign w:val="center"/>
          </w:tcPr>
          <w:p w14:paraId="7FE7A46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2,383</w:t>
            </w:r>
          </w:p>
        </w:tc>
        <w:tc>
          <w:tcPr>
            <w:tcW w:w="737" w:type="dxa"/>
            <w:tcBorders>
              <w:left w:val="nil"/>
              <w:right w:val="nil"/>
            </w:tcBorders>
            <w:shd w:val="clear" w:color="000000" w:fill="F2F2F2"/>
            <w:vAlign w:val="center"/>
          </w:tcPr>
          <w:p w14:paraId="749A69D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2,144</w:t>
            </w:r>
          </w:p>
        </w:tc>
        <w:tc>
          <w:tcPr>
            <w:tcW w:w="737" w:type="dxa"/>
            <w:tcBorders>
              <w:left w:val="nil"/>
              <w:right w:val="nil"/>
            </w:tcBorders>
            <w:shd w:val="clear" w:color="000000" w:fill="F2F2F2"/>
            <w:vAlign w:val="center"/>
          </w:tcPr>
          <w:p w14:paraId="62DC45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1,269</w:t>
            </w:r>
          </w:p>
        </w:tc>
        <w:tc>
          <w:tcPr>
            <w:tcW w:w="737" w:type="dxa"/>
            <w:tcBorders>
              <w:left w:val="nil"/>
              <w:right w:val="nil"/>
            </w:tcBorders>
            <w:shd w:val="clear" w:color="000000" w:fill="F2F2F2"/>
            <w:vAlign w:val="center"/>
          </w:tcPr>
          <w:p w14:paraId="3771E00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2,481</w:t>
            </w:r>
          </w:p>
        </w:tc>
        <w:tc>
          <w:tcPr>
            <w:tcW w:w="948" w:type="dxa"/>
            <w:tcBorders>
              <w:left w:val="nil"/>
              <w:right w:val="nil"/>
            </w:tcBorders>
            <w:shd w:val="clear" w:color="000000" w:fill="F2F2F2"/>
            <w:vAlign w:val="center"/>
          </w:tcPr>
          <w:p w14:paraId="26ABEF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2,374</w:t>
            </w:r>
          </w:p>
        </w:tc>
        <w:tc>
          <w:tcPr>
            <w:tcW w:w="737" w:type="dxa"/>
            <w:tcBorders>
              <w:left w:val="nil"/>
              <w:right w:val="nil"/>
            </w:tcBorders>
            <w:shd w:val="clear" w:color="000000" w:fill="F2F2F2"/>
            <w:vAlign w:val="center"/>
          </w:tcPr>
          <w:p w14:paraId="2D0BA56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1,582</w:t>
            </w:r>
          </w:p>
        </w:tc>
        <w:tc>
          <w:tcPr>
            <w:tcW w:w="918" w:type="dxa"/>
            <w:tcBorders>
              <w:left w:val="nil"/>
              <w:right w:val="nil"/>
            </w:tcBorders>
            <w:shd w:val="clear" w:color="000000" w:fill="F2F2F2"/>
            <w:vAlign w:val="center"/>
          </w:tcPr>
          <w:p w14:paraId="32D5EEC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4,341</w:t>
            </w:r>
          </w:p>
        </w:tc>
        <w:tc>
          <w:tcPr>
            <w:tcW w:w="857" w:type="dxa"/>
            <w:gridSpan w:val="2"/>
            <w:tcBorders>
              <w:left w:val="nil"/>
              <w:right w:val="nil"/>
            </w:tcBorders>
            <w:shd w:val="clear" w:color="000000" w:fill="F2F2F2"/>
            <w:vAlign w:val="center"/>
          </w:tcPr>
          <w:p w14:paraId="5435701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2,249</w:t>
            </w:r>
          </w:p>
        </w:tc>
      </w:tr>
      <w:tr w:rsidR="0002360D" w:rsidRPr="005946C5" w14:paraId="4206D6F1" w14:textId="77777777" w:rsidTr="00ED10B2">
        <w:trPr>
          <w:trHeight w:val="283"/>
          <w:jc w:val="center"/>
        </w:trPr>
        <w:tc>
          <w:tcPr>
            <w:tcW w:w="680" w:type="dxa"/>
            <w:tcBorders>
              <w:left w:val="nil"/>
              <w:right w:val="nil"/>
            </w:tcBorders>
            <w:shd w:val="clear" w:color="000000" w:fill="F2F2F2"/>
            <w:vAlign w:val="center"/>
          </w:tcPr>
          <w:p w14:paraId="0F5FA75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w:t>
            </w:r>
          </w:p>
        </w:tc>
        <w:tc>
          <w:tcPr>
            <w:tcW w:w="737" w:type="dxa"/>
            <w:tcBorders>
              <w:left w:val="nil"/>
              <w:right w:val="nil"/>
            </w:tcBorders>
            <w:shd w:val="clear" w:color="000000" w:fill="F2F2F2"/>
            <w:vAlign w:val="center"/>
          </w:tcPr>
          <w:p w14:paraId="63A4147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3,833</w:t>
            </w:r>
          </w:p>
        </w:tc>
        <w:tc>
          <w:tcPr>
            <w:tcW w:w="737" w:type="dxa"/>
            <w:tcBorders>
              <w:left w:val="nil"/>
              <w:right w:val="nil"/>
            </w:tcBorders>
            <w:shd w:val="clear" w:color="000000" w:fill="F2F2F2"/>
            <w:vAlign w:val="center"/>
          </w:tcPr>
          <w:p w14:paraId="28B2F5B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25,683</w:t>
            </w:r>
          </w:p>
        </w:tc>
        <w:tc>
          <w:tcPr>
            <w:tcW w:w="737" w:type="dxa"/>
            <w:tcBorders>
              <w:left w:val="nil"/>
              <w:right w:val="nil"/>
            </w:tcBorders>
            <w:shd w:val="clear" w:color="000000" w:fill="F2F2F2"/>
            <w:vAlign w:val="center"/>
          </w:tcPr>
          <w:p w14:paraId="74898CC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9,671</w:t>
            </w:r>
          </w:p>
        </w:tc>
        <w:tc>
          <w:tcPr>
            <w:tcW w:w="737" w:type="dxa"/>
            <w:tcBorders>
              <w:left w:val="nil"/>
              <w:right w:val="nil"/>
            </w:tcBorders>
            <w:shd w:val="clear" w:color="000000" w:fill="F2F2F2"/>
            <w:vAlign w:val="center"/>
          </w:tcPr>
          <w:p w14:paraId="5BEA8E9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2,220</w:t>
            </w:r>
          </w:p>
        </w:tc>
        <w:tc>
          <w:tcPr>
            <w:tcW w:w="737" w:type="dxa"/>
            <w:tcBorders>
              <w:left w:val="nil"/>
              <w:right w:val="nil"/>
            </w:tcBorders>
            <w:shd w:val="clear" w:color="000000" w:fill="F2F2F2"/>
            <w:vAlign w:val="center"/>
          </w:tcPr>
          <w:p w14:paraId="506C86F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4,625</w:t>
            </w:r>
          </w:p>
        </w:tc>
        <w:tc>
          <w:tcPr>
            <w:tcW w:w="737" w:type="dxa"/>
            <w:tcBorders>
              <w:left w:val="nil"/>
              <w:right w:val="nil"/>
            </w:tcBorders>
            <w:shd w:val="clear" w:color="000000" w:fill="F2F2F2"/>
            <w:vAlign w:val="center"/>
          </w:tcPr>
          <w:p w14:paraId="6E82FC0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4,298</w:t>
            </w:r>
          </w:p>
        </w:tc>
        <w:tc>
          <w:tcPr>
            <w:tcW w:w="737" w:type="dxa"/>
            <w:tcBorders>
              <w:left w:val="nil"/>
              <w:right w:val="nil"/>
            </w:tcBorders>
            <w:shd w:val="clear" w:color="000000" w:fill="F2F2F2"/>
            <w:vAlign w:val="center"/>
          </w:tcPr>
          <w:p w14:paraId="320BCF9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2,065</w:t>
            </w:r>
          </w:p>
        </w:tc>
        <w:tc>
          <w:tcPr>
            <w:tcW w:w="737" w:type="dxa"/>
            <w:tcBorders>
              <w:left w:val="nil"/>
              <w:right w:val="nil"/>
            </w:tcBorders>
            <w:shd w:val="clear" w:color="000000" w:fill="F2F2F2"/>
            <w:vAlign w:val="center"/>
          </w:tcPr>
          <w:p w14:paraId="0A27CA7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4,814</w:t>
            </w:r>
          </w:p>
        </w:tc>
        <w:tc>
          <w:tcPr>
            <w:tcW w:w="948" w:type="dxa"/>
            <w:tcBorders>
              <w:left w:val="nil"/>
              <w:right w:val="nil"/>
            </w:tcBorders>
            <w:shd w:val="clear" w:color="000000" w:fill="F2F2F2"/>
            <w:vAlign w:val="center"/>
          </w:tcPr>
          <w:p w14:paraId="338F25A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4,372</w:t>
            </w:r>
          </w:p>
        </w:tc>
        <w:tc>
          <w:tcPr>
            <w:tcW w:w="737" w:type="dxa"/>
            <w:tcBorders>
              <w:left w:val="nil"/>
              <w:right w:val="nil"/>
            </w:tcBorders>
            <w:shd w:val="clear" w:color="000000" w:fill="F2F2F2"/>
            <w:vAlign w:val="center"/>
          </w:tcPr>
          <w:p w14:paraId="15A52DA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2,116</w:t>
            </w:r>
          </w:p>
        </w:tc>
        <w:tc>
          <w:tcPr>
            <w:tcW w:w="918" w:type="dxa"/>
            <w:tcBorders>
              <w:left w:val="nil"/>
              <w:right w:val="nil"/>
            </w:tcBorders>
            <w:shd w:val="clear" w:color="000000" w:fill="F2F2F2"/>
            <w:vAlign w:val="center"/>
          </w:tcPr>
          <w:p w14:paraId="7CD4FDF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10,930</w:t>
            </w:r>
          </w:p>
        </w:tc>
        <w:tc>
          <w:tcPr>
            <w:tcW w:w="857" w:type="dxa"/>
            <w:gridSpan w:val="2"/>
            <w:tcBorders>
              <w:left w:val="nil"/>
              <w:right w:val="nil"/>
            </w:tcBorders>
            <w:shd w:val="clear" w:color="000000" w:fill="F2F2F2"/>
            <w:vAlign w:val="center"/>
          </w:tcPr>
          <w:p w14:paraId="121EC8B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4,143</w:t>
            </w:r>
          </w:p>
        </w:tc>
      </w:tr>
      <w:tr w:rsidR="0002360D" w:rsidRPr="005946C5" w14:paraId="73D3B791" w14:textId="77777777" w:rsidTr="00ED10B2">
        <w:trPr>
          <w:trHeight w:val="283"/>
          <w:jc w:val="center"/>
        </w:trPr>
        <w:tc>
          <w:tcPr>
            <w:tcW w:w="680" w:type="dxa"/>
            <w:tcBorders>
              <w:left w:val="nil"/>
              <w:right w:val="nil"/>
            </w:tcBorders>
            <w:shd w:val="clear" w:color="000000" w:fill="F2F2F2"/>
            <w:vAlign w:val="center"/>
          </w:tcPr>
          <w:p w14:paraId="1B70B9D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w:t>
            </w:r>
          </w:p>
        </w:tc>
        <w:tc>
          <w:tcPr>
            <w:tcW w:w="737" w:type="dxa"/>
            <w:tcBorders>
              <w:left w:val="nil"/>
              <w:right w:val="nil"/>
            </w:tcBorders>
            <w:shd w:val="clear" w:color="000000" w:fill="F2F2F2"/>
            <w:vAlign w:val="center"/>
          </w:tcPr>
          <w:p w14:paraId="4E95275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8,081</w:t>
            </w:r>
          </w:p>
        </w:tc>
        <w:tc>
          <w:tcPr>
            <w:tcW w:w="737" w:type="dxa"/>
            <w:tcBorders>
              <w:left w:val="nil"/>
              <w:right w:val="nil"/>
            </w:tcBorders>
            <w:shd w:val="clear" w:color="000000" w:fill="F2F2F2"/>
            <w:vAlign w:val="center"/>
          </w:tcPr>
          <w:p w14:paraId="4B1433F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524</w:t>
            </w:r>
          </w:p>
        </w:tc>
        <w:tc>
          <w:tcPr>
            <w:tcW w:w="737" w:type="dxa"/>
            <w:tcBorders>
              <w:left w:val="nil"/>
              <w:right w:val="nil"/>
            </w:tcBorders>
            <w:shd w:val="clear" w:color="000000" w:fill="F2F2F2"/>
            <w:vAlign w:val="center"/>
          </w:tcPr>
          <w:p w14:paraId="6119628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24,154</w:t>
            </w:r>
          </w:p>
        </w:tc>
        <w:tc>
          <w:tcPr>
            <w:tcW w:w="737" w:type="dxa"/>
            <w:tcBorders>
              <w:left w:val="nil"/>
              <w:right w:val="nil"/>
            </w:tcBorders>
            <w:shd w:val="clear" w:color="000000" w:fill="F2F2F2"/>
            <w:vAlign w:val="center"/>
          </w:tcPr>
          <w:p w14:paraId="25E5441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4,089</w:t>
            </w:r>
          </w:p>
        </w:tc>
        <w:tc>
          <w:tcPr>
            <w:tcW w:w="737" w:type="dxa"/>
            <w:tcBorders>
              <w:left w:val="nil"/>
              <w:right w:val="nil"/>
            </w:tcBorders>
            <w:shd w:val="clear" w:color="000000" w:fill="F2F2F2"/>
            <w:vAlign w:val="center"/>
          </w:tcPr>
          <w:p w14:paraId="6772BE1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10,911</w:t>
            </w:r>
          </w:p>
        </w:tc>
        <w:tc>
          <w:tcPr>
            <w:tcW w:w="737" w:type="dxa"/>
            <w:tcBorders>
              <w:left w:val="nil"/>
              <w:right w:val="nil"/>
            </w:tcBorders>
            <w:shd w:val="clear" w:color="000000" w:fill="F2F2F2"/>
            <w:vAlign w:val="center"/>
          </w:tcPr>
          <w:p w14:paraId="37F2482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10,683</w:t>
            </w:r>
          </w:p>
        </w:tc>
        <w:tc>
          <w:tcPr>
            <w:tcW w:w="737" w:type="dxa"/>
            <w:tcBorders>
              <w:left w:val="nil"/>
              <w:right w:val="nil"/>
            </w:tcBorders>
            <w:shd w:val="clear" w:color="000000" w:fill="F2F2F2"/>
            <w:vAlign w:val="center"/>
          </w:tcPr>
          <w:p w14:paraId="64C5C51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4,140</w:t>
            </w:r>
          </w:p>
        </w:tc>
        <w:tc>
          <w:tcPr>
            <w:tcW w:w="737" w:type="dxa"/>
            <w:tcBorders>
              <w:left w:val="nil"/>
              <w:right w:val="nil"/>
            </w:tcBorders>
            <w:shd w:val="clear" w:color="000000" w:fill="F2F2F2"/>
            <w:vAlign w:val="center"/>
          </w:tcPr>
          <w:p w14:paraId="12262E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11,357</w:t>
            </w:r>
          </w:p>
        </w:tc>
        <w:tc>
          <w:tcPr>
            <w:tcW w:w="948" w:type="dxa"/>
            <w:tcBorders>
              <w:left w:val="nil"/>
              <w:right w:val="nil"/>
            </w:tcBorders>
            <w:shd w:val="clear" w:color="000000" w:fill="F2F2F2"/>
            <w:vAlign w:val="center"/>
          </w:tcPr>
          <w:p w14:paraId="5DCE668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11,008</w:t>
            </w:r>
          </w:p>
        </w:tc>
        <w:tc>
          <w:tcPr>
            <w:tcW w:w="737" w:type="dxa"/>
            <w:tcBorders>
              <w:left w:val="nil"/>
              <w:right w:val="nil"/>
            </w:tcBorders>
            <w:shd w:val="clear" w:color="000000" w:fill="F2F2F2"/>
            <w:vAlign w:val="center"/>
          </w:tcPr>
          <w:p w14:paraId="5241203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3,950</w:t>
            </w:r>
          </w:p>
        </w:tc>
        <w:tc>
          <w:tcPr>
            <w:tcW w:w="918" w:type="dxa"/>
            <w:tcBorders>
              <w:left w:val="nil"/>
              <w:right w:val="nil"/>
            </w:tcBorders>
            <w:shd w:val="clear" w:color="000000" w:fill="F2F2F2"/>
            <w:vAlign w:val="center"/>
          </w:tcPr>
          <w:p w14:paraId="277DB48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27,298</w:t>
            </w:r>
          </w:p>
        </w:tc>
        <w:tc>
          <w:tcPr>
            <w:tcW w:w="857" w:type="dxa"/>
            <w:gridSpan w:val="2"/>
            <w:tcBorders>
              <w:left w:val="nil"/>
              <w:right w:val="nil"/>
            </w:tcBorders>
            <w:shd w:val="clear" w:color="000000" w:fill="F2F2F2"/>
            <w:vAlign w:val="center"/>
          </w:tcPr>
          <w:p w14:paraId="1C834AA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10,431</w:t>
            </w:r>
          </w:p>
        </w:tc>
      </w:tr>
      <w:tr w:rsidR="0002360D" w:rsidRPr="005946C5" w14:paraId="5C8DEF25" w14:textId="77777777" w:rsidTr="00ED10B2">
        <w:trPr>
          <w:trHeight w:val="283"/>
          <w:jc w:val="center"/>
        </w:trPr>
        <w:tc>
          <w:tcPr>
            <w:tcW w:w="680" w:type="dxa"/>
            <w:tcBorders>
              <w:left w:val="nil"/>
              <w:right w:val="nil"/>
            </w:tcBorders>
            <w:shd w:val="clear" w:color="000000" w:fill="F2F2F2"/>
            <w:vAlign w:val="center"/>
          </w:tcPr>
          <w:p w14:paraId="1C3619C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13</w:t>
            </w:r>
          </w:p>
        </w:tc>
        <w:tc>
          <w:tcPr>
            <w:tcW w:w="737" w:type="dxa"/>
            <w:tcBorders>
              <w:left w:val="nil"/>
              <w:right w:val="nil"/>
            </w:tcBorders>
            <w:shd w:val="clear" w:color="000000" w:fill="F2F2F2"/>
            <w:vAlign w:val="center"/>
          </w:tcPr>
          <w:p w14:paraId="6287DAE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11,981</w:t>
            </w:r>
          </w:p>
        </w:tc>
        <w:tc>
          <w:tcPr>
            <w:tcW w:w="737" w:type="dxa"/>
            <w:tcBorders>
              <w:left w:val="nil"/>
              <w:right w:val="nil"/>
            </w:tcBorders>
            <w:shd w:val="clear" w:color="000000" w:fill="F2F2F2"/>
            <w:vAlign w:val="center"/>
          </w:tcPr>
          <w:p w14:paraId="10E5DA8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331</w:t>
            </w:r>
          </w:p>
        </w:tc>
        <w:tc>
          <w:tcPr>
            <w:tcW w:w="737" w:type="dxa"/>
            <w:tcBorders>
              <w:left w:val="nil"/>
              <w:right w:val="nil"/>
            </w:tcBorders>
            <w:shd w:val="clear" w:color="000000" w:fill="F2F2F2"/>
            <w:vAlign w:val="center"/>
          </w:tcPr>
          <w:p w14:paraId="5CFD94F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494</w:t>
            </w:r>
          </w:p>
        </w:tc>
        <w:tc>
          <w:tcPr>
            <w:tcW w:w="737" w:type="dxa"/>
            <w:tcBorders>
              <w:left w:val="nil"/>
              <w:right w:val="nil"/>
            </w:tcBorders>
            <w:shd w:val="clear" w:color="000000" w:fill="F2F2F2"/>
            <w:vAlign w:val="center"/>
          </w:tcPr>
          <w:p w14:paraId="0748570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10,295</w:t>
            </w:r>
          </w:p>
        </w:tc>
        <w:tc>
          <w:tcPr>
            <w:tcW w:w="737" w:type="dxa"/>
            <w:tcBorders>
              <w:left w:val="nil"/>
              <w:right w:val="nil"/>
            </w:tcBorders>
            <w:shd w:val="clear" w:color="000000" w:fill="F2F2F2"/>
            <w:vAlign w:val="center"/>
          </w:tcPr>
          <w:p w14:paraId="7D3F106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24,172</w:t>
            </w:r>
          </w:p>
        </w:tc>
        <w:tc>
          <w:tcPr>
            <w:tcW w:w="737" w:type="dxa"/>
            <w:tcBorders>
              <w:left w:val="nil"/>
              <w:right w:val="nil"/>
            </w:tcBorders>
            <w:shd w:val="clear" w:color="000000" w:fill="F2F2F2"/>
            <w:vAlign w:val="center"/>
          </w:tcPr>
          <w:p w14:paraId="7764A14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26,604</w:t>
            </w:r>
          </w:p>
        </w:tc>
        <w:tc>
          <w:tcPr>
            <w:tcW w:w="737" w:type="dxa"/>
            <w:tcBorders>
              <w:left w:val="nil"/>
              <w:right w:val="nil"/>
            </w:tcBorders>
            <w:shd w:val="clear" w:color="000000" w:fill="F2F2F2"/>
            <w:vAlign w:val="center"/>
          </w:tcPr>
          <w:p w14:paraId="6A8CB9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10,289</w:t>
            </w:r>
          </w:p>
        </w:tc>
        <w:tc>
          <w:tcPr>
            <w:tcW w:w="737" w:type="dxa"/>
            <w:tcBorders>
              <w:left w:val="nil"/>
              <w:right w:val="nil"/>
            </w:tcBorders>
            <w:shd w:val="clear" w:color="000000" w:fill="F2F2F2"/>
            <w:vAlign w:val="center"/>
          </w:tcPr>
          <w:p w14:paraId="33C2A0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25,160</w:t>
            </w:r>
          </w:p>
        </w:tc>
        <w:tc>
          <w:tcPr>
            <w:tcW w:w="948" w:type="dxa"/>
            <w:tcBorders>
              <w:left w:val="nil"/>
              <w:right w:val="nil"/>
            </w:tcBorders>
            <w:shd w:val="clear" w:color="000000" w:fill="F2F2F2"/>
            <w:vAlign w:val="center"/>
          </w:tcPr>
          <w:p w14:paraId="4C9668E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27,494</w:t>
            </w:r>
          </w:p>
        </w:tc>
        <w:tc>
          <w:tcPr>
            <w:tcW w:w="737" w:type="dxa"/>
            <w:tcBorders>
              <w:left w:val="nil"/>
              <w:right w:val="nil"/>
            </w:tcBorders>
            <w:shd w:val="clear" w:color="000000" w:fill="F2F2F2"/>
            <w:vAlign w:val="center"/>
          </w:tcPr>
          <w:p w14:paraId="4143A01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8,328</w:t>
            </w:r>
          </w:p>
        </w:tc>
        <w:tc>
          <w:tcPr>
            <w:tcW w:w="918" w:type="dxa"/>
            <w:tcBorders>
              <w:left w:val="nil"/>
              <w:right w:val="nil"/>
            </w:tcBorders>
            <w:shd w:val="clear" w:color="000000" w:fill="F2F2F2"/>
            <w:vAlign w:val="center"/>
          </w:tcPr>
          <w:p w14:paraId="5A6260D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524</w:t>
            </w:r>
          </w:p>
        </w:tc>
        <w:tc>
          <w:tcPr>
            <w:tcW w:w="857" w:type="dxa"/>
            <w:gridSpan w:val="2"/>
            <w:tcBorders>
              <w:left w:val="nil"/>
              <w:right w:val="nil"/>
            </w:tcBorders>
            <w:shd w:val="clear" w:color="000000" w:fill="F2F2F2"/>
            <w:vAlign w:val="center"/>
          </w:tcPr>
          <w:p w14:paraId="0B29C59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26,051</w:t>
            </w:r>
          </w:p>
        </w:tc>
      </w:tr>
      <w:tr w:rsidR="0002360D" w:rsidRPr="005946C5" w14:paraId="46CD9DCA" w14:textId="77777777" w:rsidTr="00ED10B2">
        <w:trPr>
          <w:trHeight w:val="283"/>
          <w:jc w:val="center"/>
        </w:trPr>
        <w:tc>
          <w:tcPr>
            <w:tcW w:w="680" w:type="dxa"/>
            <w:tcBorders>
              <w:left w:val="nil"/>
              <w:right w:val="nil"/>
            </w:tcBorders>
            <w:shd w:val="clear" w:color="000000" w:fill="F2F2F2"/>
            <w:vAlign w:val="center"/>
          </w:tcPr>
          <w:p w14:paraId="4C1C4E9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w:t>
            </w:r>
          </w:p>
        </w:tc>
        <w:tc>
          <w:tcPr>
            <w:tcW w:w="737" w:type="dxa"/>
            <w:tcBorders>
              <w:left w:val="nil"/>
              <w:right w:val="nil"/>
            </w:tcBorders>
            <w:shd w:val="clear" w:color="000000" w:fill="F2F2F2"/>
            <w:vAlign w:val="center"/>
          </w:tcPr>
          <w:p w14:paraId="75008D4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14,959</w:t>
            </w:r>
          </w:p>
        </w:tc>
        <w:tc>
          <w:tcPr>
            <w:tcW w:w="737" w:type="dxa"/>
            <w:tcBorders>
              <w:left w:val="nil"/>
              <w:right w:val="nil"/>
            </w:tcBorders>
            <w:shd w:val="clear" w:color="000000" w:fill="F2F2F2"/>
            <w:vAlign w:val="center"/>
          </w:tcPr>
          <w:p w14:paraId="313928D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277</w:t>
            </w:r>
          </w:p>
        </w:tc>
        <w:tc>
          <w:tcPr>
            <w:tcW w:w="737" w:type="dxa"/>
            <w:tcBorders>
              <w:left w:val="nil"/>
              <w:right w:val="nil"/>
            </w:tcBorders>
            <w:shd w:val="clear" w:color="000000" w:fill="F2F2F2"/>
            <w:vAlign w:val="center"/>
          </w:tcPr>
          <w:p w14:paraId="78DFF18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312</w:t>
            </w:r>
          </w:p>
        </w:tc>
        <w:tc>
          <w:tcPr>
            <w:tcW w:w="737" w:type="dxa"/>
            <w:tcBorders>
              <w:left w:val="nil"/>
              <w:right w:val="nil"/>
            </w:tcBorders>
            <w:shd w:val="clear" w:color="000000" w:fill="F2F2F2"/>
            <w:vAlign w:val="center"/>
          </w:tcPr>
          <w:p w14:paraId="4240CD5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25,713</w:t>
            </w:r>
          </w:p>
        </w:tc>
        <w:tc>
          <w:tcPr>
            <w:tcW w:w="737" w:type="dxa"/>
            <w:tcBorders>
              <w:left w:val="nil"/>
              <w:right w:val="nil"/>
            </w:tcBorders>
            <w:shd w:val="clear" w:color="000000" w:fill="F2F2F2"/>
            <w:vAlign w:val="center"/>
          </w:tcPr>
          <w:p w14:paraId="4B113BD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525</w:t>
            </w:r>
          </w:p>
        </w:tc>
        <w:tc>
          <w:tcPr>
            <w:tcW w:w="737" w:type="dxa"/>
            <w:tcBorders>
              <w:left w:val="nil"/>
              <w:right w:val="nil"/>
            </w:tcBorders>
            <w:shd w:val="clear" w:color="000000" w:fill="F2F2F2"/>
            <w:vAlign w:val="center"/>
          </w:tcPr>
          <w:p w14:paraId="6F30C53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543</w:t>
            </w:r>
          </w:p>
        </w:tc>
        <w:tc>
          <w:tcPr>
            <w:tcW w:w="737" w:type="dxa"/>
            <w:tcBorders>
              <w:left w:val="nil"/>
              <w:right w:val="nil"/>
            </w:tcBorders>
            <w:shd w:val="clear" w:color="000000" w:fill="F2F2F2"/>
            <w:vAlign w:val="center"/>
          </w:tcPr>
          <w:p w14:paraId="3D0BF98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25,623</w:t>
            </w:r>
          </w:p>
        </w:tc>
        <w:tc>
          <w:tcPr>
            <w:tcW w:w="737" w:type="dxa"/>
            <w:tcBorders>
              <w:left w:val="nil"/>
              <w:right w:val="nil"/>
            </w:tcBorders>
            <w:shd w:val="clear" w:color="000000" w:fill="F2F2F2"/>
            <w:vAlign w:val="center"/>
          </w:tcPr>
          <w:p w14:paraId="0F714C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546</w:t>
            </w:r>
          </w:p>
        </w:tc>
        <w:tc>
          <w:tcPr>
            <w:tcW w:w="948" w:type="dxa"/>
            <w:tcBorders>
              <w:left w:val="nil"/>
              <w:right w:val="nil"/>
            </w:tcBorders>
            <w:shd w:val="clear" w:color="000000" w:fill="F2F2F2"/>
            <w:vAlign w:val="center"/>
          </w:tcPr>
          <w:p w14:paraId="089DE44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563</w:t>
            </w:r>
          </w:p>
        </w:tc>
        <w:tc>
          <w:tcPr>
            <w:tcW w:w="737" w:type="dxa"/>
            <w:tcBorders>
              <w:left w:val="nil"/>
              <w:right w:val="nil"/>
            </w:tcBorders>
            <w:shd w:val="clear" w:color="000000" w:fill="F2F2F2"/>
            <w:vAlign w:val="center"/>
          </w:tcPr>
          <w:p w14:paraId="2C4AF0D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12,348</w:t>
            </w:r>
          </w:p>
        </w:tc>
        <w:tc>
          <w:tcPr>
            <w:tcW w:w="918" w:type="dxa"/>
            <w:tcBorders>
              <w:left w:val="nil"/>
              <w:right w:val="nil"/>
            </w:tcBorders>
            <w:shd w:val="clear" w:color="000000" w:fill="F2F2F2"/>
            <w:vAlign w:val="center"/>
          </w:tcPr>
          <w:p w14:paraId="5205AC9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365</w:t>
            </w:r>
          </w:p>
        </w:tc>
        <w:tc>
          <w:tcPr>
            <w:tcW w:w="857" w:type="dxa"/>
            <w:gridSpan w:val="2"/>
            <w:tcBorders>
              <w:left w:val="nil"/>
              <w:right w:val="nil"/>
            </w:tcBorders>
            <w:shd w:val="clear" w:color="000000" w:fill="F2F2F2"/>
            <w:vAlign w:val="center"/>
          </w:tcPr>
          <w:p w14:paraId="3EBBD45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533</w:t>
            </w:r>
          </w:p>
        </w:tc>
      </w:tr>
      <w:tr w:rsidR="0002360D" w:rsidRPr="005946C5" w14:paraId="27CC6366" w14:textId="77777777" w:rsidTr="00ED10B2">
        <w:trPr>
          <w:trHeight w:val="283"/>
          <w:jc w:val="center"/>
        </w:trPr>
        <w:tc>
          <w:tcPr>
            <w:tcW w:w="680" w:type="dxa"/>
            <w:tcBorders>
              <w:left w:val="nil"/>
              <w:right w:val="nil"/>
            </w:tcBorders>
            <w:shd w:val="clear" w:color="000000" w:fill="F2F2F2"/>
            <w:vAlign w:val="center"/>
          </w:tcPr>
          <w:p w14:paraId="592B313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w:t>
            </w:r>
          </w:p>
        </w:tc>
        <w:tc>
          <w:tcPr>
            <w:tcW w:w="737" w:type="dxa"/>
            <w:tcBorders>
              <w:left w:val="nil"/>
              <w:right w:val="nil"/>
            </w:tcBorders>
            <w:shd w:val="clear" w:color="000000" w:fill="F2F2F2"/>
            <w:vAlign w:val="center"/>
          </w:tcPr>
          <w:p w14:paraId="690BD4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507</w:t>
            </w:r>
          </w:p>
        </w:tc>
        <w:tc>
          <w:tcPr>
            <w:tcW w:w="737" w:type="dxa"/>
            <w:tcBorders>
              <w:left w:val="nil"/>
              <w:right w:val="nil"/>
            </w:tcBorders>
            <w:shd w:val="clear" w:color="000000" w:fill="F2F2F2"/>
            <w:vAlign w:val="center"/>
          </w:tcPr>
          <w:p w14:paraId="05F1D98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w:t>
            </w:r>
          </w:p>
        </w:tc>
        <w:tc>
          <w:tcPr>
            <w:tcW w:w="737" w:type="dxa"/>
            <w:tcBorders>
              <w:left w:val="nil"/>
              <w:right w:val="nil"/>
            </w:tcBorders>
            <w:shd w:val="clear" w:color="000000" w:fill="F2F2F2"/>
            <w:vAlign w:val="center"/>
          </w:tcPr>
          <w:p w14:paraId="2A32250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261</w:t>
            </w:r>
          </w:p>
        </w:tc>
        <w:tc>
          <w:tcPr>
            <w:tcW w:w="737" w:type="dxa"/>
            <w:tcBorders>
              <w:left w:val="nil"/>
              <w:right w:val="nil"/>
            </w:tcBorders>
            <w:shd w:val="clear" w:color="000000" w:fill="F2F2F2"/>
            <w:vAlign w:val="center"/>
          </w:tcPr>
          <w:p w14:paraId="60C4088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494</w:t>
            </w:r>
          </w:p>
        </w:tc>
        <w:tc>
          <w:tcPr>
            <w:tcW w:w="737" w:type="dxa"/>
            <w:tcBorders>
              <w:left w:val="nil"/>
              <w:right w:val="nil"/>
            </w:tcBorders>
            <w:shd w:val="clear" w:color="000000" w:fill="F2F2F2"/>
            <w:vAlign w:val="center"/>
          </w:tcPr>
          <w:p w14:paraId="5B876A8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331</w:t>
            </w:r>
          </w:p>
        </w:tc>
        <w:tc>
          <w:tcPr>
            <w:tcW w:w="737" w:type="dxa"/>
            <w:tcBorders>
              <w:left w:val="nil"/>
              <w:right w:val="nil"/>
            </w:tcBorders>
            <w:shd w:val="clear" w:color="000000" w:fill="F2F2F2"/>
            <w:vAlign w:val="center"/>
          </w:tcPr>
          <w:p w14:paraId="750F58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343</w:t>
            </w:r>
          </w:p>
        </w:tc>
        <w:tc>
          <w:tcPr>
            <w:tcW w:w="737" w:type="dxa"/>
            <w:tcBorders>
              <w:left w:val="nil"/>
              <w:right w:val="nil"/>
            </w:tcBorders>
            <w:shd w:val="clear" w:color="000000" w:fill="F2F2F2"/>
            <w:vAlign w:val="center"/>
          </w:tcPr>
          <w:p w14:paraId="68BD1FD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529</w:t>
            </w:r>
          </w:p>
        </w:tc>
        <w:tc>
          <w:tcPr>
            <w:tcW w:w="737" w:type="dxa"/>
            <w:tcBorders>
              <w:left w:val="nil"/>
              <w:right w:val="nil"/>
            </w:tcBorders>
            <w:shd w:val="clear" w:color="000000" w:fill="F2F2F2"/>
            <w:vAlign w:val="center"/>
          </w:tcPr>
          <w:p w14:paraId="3A7BE00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345</w:t>
            </w:r>
          </w:p>
        </w:tc>
        <w:tc>
          <w:tcPr>
            <w:tcW w:w="948" w:type="dxa"/>
            <w:tcBorders>
              <w:left w:val="nil"/>
              <w:right w:val="nil"/>
            </w:tcBorders>
            <w:shd w:val="clear" w:color="000000" w:fill="F2F2F2"/>
            <w:vAlign w:val="center"/>
          </w:tcPr>
          <w:p w14:paraId="3D4DA9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355</w:t>
            </w:r>
          </w:p>
        </w:tc>
        <w:tc>
          <w:tcPr>
            <w:tcW w:w="737" w:type="dxa"/>
            <w:tcBorders>
              <w:left w:val="nil"/>
              <w:right w:val="nil"/>
            </w:tcBorders>
            <w:shd w:val="clear" w:color="000000" w:fill="F2F2F2"/>
            <w:vAlign w:val="center"/>
          </w:tcPr>
          <w:p w14:paraId="676E9DF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15,417</w:t>
            </w:r>
          </w:p>
        </w:tc>
        <w:tc>
          <w:tcPr>
            <w:tcW w:w="918" w:type="dxa"/>
            <w:tcBorders>
              <w:left w:val="nil"/>
              <w:right w:val="nil"/>
            </w:tcBorders>
            <w:shd w:val="clear" w:color="000000" w:fill="F2F2F2"/>
            <w:vAlign w:val="center"/>
          </w:tcPr>
          <w:p w14:paraId="19AE6CA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267</w:t>
            </w:r>
          </w:p>
        </w:tc>
        <w:tc>
          <w:tcPr>
            <w:tcW w:w="857" w:type="dxa"/>
            <w:gridSpan w:val="2"/>
            <w:tcBorders>
              <w:left w:val="nil"/>
              <w:right w:val="nil"/>
            </w:tcBorders>
            <w:shd w:val="clear" w:color="000000" w:fill="F2F2F2"/>
            <w:vAlign w:val="center"/>
          </w:tcPr>
          <w:p w14:paraId="538B732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337</w:t>
            </w:r>
          </w:p>
        </w:tc>
      </w:tr>
      <w:tr w:rsidR="0002360D" w:rsidRPr="005946C5" w14:paraId="224BDB55" w14:textId="77777777" w:rsidTr="00ED10B2">
        <w:trPr>
          <w:trHeight w:val="283"/>
          <w:jc w:val="center"/>
        </w:trPr>
        <w:tc>
          <w:tcPr>
            <w:tcW w:w="680" w:type="dxa"/>
            <w:tcBorders>
              <w:left w:val="nil"/>
              <w:right w:val="nil"/>
            </w:tcBorders>
            <w:shd w:val="clear" w:color="000000" w:fill="F2F2F2"/>
            <w:vAlign w:val="center"/>
          </w:tcPr>
          <w:p w14:paraId="670E128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16</w:t>
            </w:r>
          </w:p>
        </w:tc>
        <w:tc>
          <w:tcPr>
            <w:tcW w:w="737" w:type="dxa"/>
            <w:tcBorders>
              <w:left w:val="nil"/>
              <w:right w:val="nil"/>
            </w:tcBorders>
            <w:shd w:val="clear" w:color="000000" w:fill="F2F2F2"/>
            <w:vAlign w:val="center"/>
          </w:tcPr>
          <w:p w14:paraId="21EA848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320</w:t>
            </w:r>
          </w:p>
        </w:tc>
        <w:tc>
          <w:tcPr>
            <w:tcW w:w="737" w:type="dxa"/>
            <w:tcBorders>
              <w:left w:val="nil"/>
              <w:right w:val="nil"/>
            </w:tcBorders>
            <w:shd w:val="clear" w:color="000000" w:fill="F2F2F2"/>
            <w:vAlign w:val="center"/>
          </w:tcPr>
          <w:p w14:paraId="3CEB69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2E36F13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w:t>
            </w:r>
          </w:p>
        </w:tc>
        <w:tc>
          <w:tcPr>
            <w:tcW w:w="737" w:type="dxa"/>
            <w:tcBorders>
              <w:left w:val="nil"/>
              <w:right w:val="nil"/>
            </w:tcBorders>
            <w:shd w:val="clear" w:color="000000" w:fill="F2F2F2"/>
            <w:vAlign w:val="center"/>
          </w:tcPr>
          <w:p w14:paraId="0CD0237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308</w:t>
            </w:r>
          </w:p>
        </w:tc>
        <w:tc>
          <w:tcPr>
            <w:tcW w:w="737" w:type="dxa"/>
            <w:tcBorders>
              <w:left w:val="nil"/>
              <w:right w:val="nil"/>
            </w:tcBorders>
            <w:shd w:val="clear" w:color="000000" w:fill="F2F2F2"/>
            <w:vAlign w:val="center"/>
          </w:tcPr>
          <w:p w14:paraId="27EE7D2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278</w:t>
            </w:r>
          </w:p>
        </w:tc>
        <w:tc>
          <w:tcPr>
            <w:tcW w:w="737" w:type="dxa"/>
            <w:tcBorders>
              <w:left w:val="nil"/>
              <w:right w:val="nil"/>
            </w:tcBorders>
            <w:shd w:val="clear" w:color="000000" w:fill="F2F2F2"/>
            <w:vAlign w:val="center"/>
          </w:tcPr>
          <w:p w14:paraId="0345107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287</w:t>
            </w:r>
          </w:p>
        </w:tc>
        <w:tc>
          <w:tcPr>
            <w:tcW w:w="737" w:type="dxa"/>
            <w:tcBorders>
              <w:left w:val="nil"/>
              <w:right w:val="nil"/>
            </w:tcBorders>
            <w:shd w:val="clear" w:color="000000" w:fill="F2F2F2"/>
            <w:vAlign w:val="center"/>
          </w:tcPr>
          <w:p w14:paraId="0B95C5B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380</w:t>
            </w:r>
          </w:p>
        </w:tc>
        <w:tc>
          <w:tcPr>
            <w:tcW w:w="737" w:type="dxa"/>
            <w:tcBorders>
              <w:left w:val="nil"/>
              <w:right w:val="nil"/>
            </w:tcBorders>
            <w:shd w:val="clear" w:color="000000" w:fill="F2F2F2"/>
            <w:vAlign w:val="center"/>
          </w:tcPr>
          <w:p w14:paraId="0BCF4D4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289</w:t>
            </w:r>
          </w:p>
        </w:tc>
        <w:tc>
          <w:tcPr>
            <w:tcW w:w="948" w:type="dxa"/>
            <w:tcBorders>
              <w:left w:val="nil"/>
              <w:right w:val="nil"/>
            </w:tcBorders>
            <w:shd w:val="clear" w:color="000000" w:fill="F2F2F2"/>
            <w:vAlign w:val="center"/>
          </w:tcPr>
          <w:p w14:paraId="2AD3C1E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298</w:t>
            </w:r>
          </w:p>
        </w:tc>
        <w:tc>
          <w:tcPr>
            <w:tcW w:w="737" w:type="dxa"/>
            <w:tcBorders>
              <w:left w:val="nil"/>
              <w:right w:val="nil"/>
            </w:tcBorders>
            <w:shd w:val="clear" w:color="000000" w:fill="F2F2F2"/>
            <w:vAlign w:val="center"/>
          </w:tcPr>
          <w:p w14:paraId="18C2527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522</w:t>
            </w:r>
          </w:p>
        </w:tc>
        <w:tc>
          <w:tcPr>
            <w:tcW w:w="918" w:type="dxa"/>
            <w:tcBorders>
              <w:left w:val="nil"/>
              <w:right w:val="nil"/>
            </w:tcBorders>
            <w:shd w:val="clear" w:color="000000" w:fill="F2F2F2"/>
            <w:vAlign w:val="center"/>
          </w:tcPr>
          <w:p w14:paraId="71E2CE8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284</w:t>
            </w:r>
          </w:p>
        </w:tc>
        <w:tc>
          <w:tcPr>
            <w:tcW w:w="857" w:type="dxa"/>
            <w:gridSpan w:val="2"/>
            <w:tcBorders>
              <w:left w:val="nil"/>
              <w:right w:val="nil"/>
            </w:tcBorders>
            <w:shd w:val="clear" w:color="000000" w:fill="F2F2F2"/>
            <w:vAlign w:val="center"/>
          </w:tcPr>
          <w:p w14:paraId="251B45A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282</w:t>
            </w:r>
          </w:p>
        </w:tc>
      </w:tr>
      <w:tr w:rsidR="0002360D" w:rsidRPr="005946C5" w14:paraId="030CA409" w14:textId="77777777" w:rsidTr="00ED10B2">
        <w:trPr>
          <w:trHeight w:val="283"/>
          <w:jc w:val="center"/>
        </w:trPr>
        <w:tc>
          <w:tcPr>
            <w:tcW w:w="680" w:type="dxa"/>
            <w:tcBorders>
              <w:left w:val="nil"/>
              <w:right w:val="nil"/>
            </w:tcBorders>
            <w:shd w:val="clear" w:color="000000" w:fill="F2F2F2"/>
            <w:vAlign w:val="center"/>
          </w:tcPr>
          <w:p w14:paraId="532A002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17</w:t>
            </w:r>
          </w:p>
        </w:tc>
        <w:tc>
          <w:tcPr>
            <w:tcW w:w="737" w:type="dxa"/>
            <w:tcBorders>
              <w:left w:val="nil"/>
              <w:right w:val="nil"/>
            </w:tcBorders>
            <w:shd w:val="clear" w:color="000000" w:fill="F2F2F2"/>
            <w:vAlign w:val="center"/>
          </w:tcPr>
          <w:p w14:paraId="0D55B65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268</w:t>
            </w:r>
          </w:p>
        </w:tc>
        <w:tc>
          <w:tcPr>
            <w:tcW w:w="737" w:type="dxa"/>
            <w:tcBorders>
              <w:left w:val="nil"/>
              <w:right w:val="nil"/>
            </w:tcBorders>
            <w:shd w:val="clear" w:color="000000" w:fill="F2F2F2"/>
            <w:vAlign w:val="center"/>
          </w:tcPr>
          <w:p w14:paraId="2C3FC71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25C6C29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197</w:t>
            </w:r>
          </w:p>
        </w:tc>
        <w:tc>
          <w:tcPr>
            <w:tcW w:w="737" w:type="dxa"/>
            <w:tcBorders>
              <w:left w:val="nil"/>
              <w:right w:val="nil"/>
            </w:tcBorders>
            <w:shd w:val="clear" w:color="000000" w:fill="F2F2F2"/>
            <w:vAlign w:val="center"/>
          </w:tcPr>
          <w:p w14:paraId="5524A60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253</w:t>
            </w:r>
          </w:p>
        </w:tc>
        <w:tc>
          <w:tcPr>
            <w:tcW w:w="737" w:type="dxa"/>
            <w:tcBorders>
              <w:left w:val="nil"/>
              <w:right w:val="nil"/>
            </w:tcBorders>
            <w:shd w:val="clear" w:color="000000" w:fill="F2F2F2"/>
            <w:vAlign w:val="center"/>
          </w:tcPr>
          <w:p w14:paraId="7A03103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w:t>
            </w:r>
          </w:p>
        </w:tc>
        <w:tc>
          <w:tcPr>
            <w:tcW w:w="737" w:type="dxa"/>
            <w:tcBorders>
              <w:left w:val="nil"/>
              <w:right w:val="nil"/>
            </w:tcBorders>
            <w:shd w:val="clear" w:color="000000" w:fill="F2F2F2"/>
            <w:vAlign w:val="center"/>
          </w:tcPr>
          <w:p w14:paraId="629229D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276</w:t>
            </w:r>
          </w:p>
        </w:tc>
        <w:tc>
          <w:tcPr>
            <w:tcW w:w="737" w:type="dxa"/>
            <w:tcBorders>
              <w:left w:val="nil"/>
              <w:right w:val="nil"/>
            </w:tcBorders>
            <w:shd w:val="clear" w:color="000000" w:fill="F2F2F2"/>
            <w:vAlign w:val="center"/>
          </w:tcPr>
          <w:p w14:paraId="1C5BA30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296</w:t>
            </w:r>
          </w:p>
        </w:tc>
        <w:tc>
          <w:tcPr>
            <w:tcW w:w="737" w:type="dxa"/>
            <w:tcBorders>
              <w:left w:val="nil"/>
              <w:right w:val="nil"/>
            </w:tcBorders>
            <w:shd w:val="clear" w:color="000000" w:fill="F2F2F2"/>
            <w:vAlign w:val="center"/>
          </w:tcPr>
          <w:p w14:paraId="028A046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277</w:t>
            </w:r>
          </w:p>
        </w:tc>
        <w:tc>
          <w:tcPr>
            <w:tcW w:w="948" w:type="dxa"/>
            <w:tcBorders>
              <w:left w:val="nil"/>
              <w:right w:val="nil"/>
            </w:tcBorders>
            <w:shd w:val="clear" w:color="000000" w:fill="F2F2F2"/>
            <w:vAlign w:val="center"/>
          </w:tcPr>
          <w:p w14:paraId="03D8D5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285</w:t>
            </w:r>
          </w:p>
        </w:tc>
        <w:tc>
          <w:tcPr>
            <w:tcW w:w="737" w:type="dxa"/>
            <w:tcBorders>
              <w:left w:val="nil"/>
              <w:right w:val="nil"/>
            </w:tcBorders>
            <w:shd w:val="clear" w:color="000000" w:fill="F2F2F2"/>
            <w:vAlign w:val="center"/>
          </w:tcPr>
          <w:p w14:paraId="307D3B3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330</w:t>
            </w:r>
          </w:p>
        </w:tc>
        <w:tc>
          <w:tcPr>
            <w:tcW w:w="918" w:type="dxa"/>
            <w:tcBorders>
              <w:left w:val="nil"/>
              <w:right w:val="nil"/>
            </w:tcBorders>
            <w:shd w:val="clear" w:color="000000" w:fill="F2F2F2"/>
            <w:vAlign w:val="center"/>
          </w:tcPr>
          <w:p w14:paraId="4F5621F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220</w:t>
            </w:r>
          </w:p>
        </w:tc>
        <w:tc>
          <w:tcPr>
            <w:tcW w:w="857" w:type="dxa"/>
            <w:gridSpan w:val="2"/>
            <w:tcBorders>
              <w:left w:val="nil"/>
              <w:right w:val="nil"/>
            </w:tcBorders>
            <w:shd w:val="clear" w:color="000000" w:fill="F2F2F2"/>
            <w:vAlign w:val="center"/>
          </w:tcPr>
          <w:p w14:paraId="3662B02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271</w:t>
            </w:r>
          </w:p>
        </w:tc>
      </w:tr>
      <w:tr w:rsidR="0002360D" w:rsidRPr="005946C5" w14:paraId="593662EA" w14:textId="77777777" w:rsidTr="00ED10B2">
        <w:trPr>
          <w:trHeight w:val="283"/>
          <w:jc w:val="center"/>
        </w:trPr>
        <w:tc>
          <w:tcPr>
            <w:tcW w:w="680" w:type="dxa"/>
            <w:tcBorders>
              <w:left w:val="nil"/>
              <w:right w:val="nil"/>
            </w:tcBorders>
            <w:shd w:val="clear" w:color="000000" w:fill="F2F2F2"/>
            <w:vAlign w:val="center"/>
          </w:tcPr>
          <w:p w14:paraId="16FD94E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18</w:t>
            </w:r>
          </w:p>
        </w:tc>
        <w:tc>
          <w:tcPr>
            <w:tcW w:w="737" w:type="dxa"/>
            <w:tcBorders>
              <w:left w:val="nil"/>
              <w:right w:val="nil"/>
            </w:tcBorders>
            <w:shd w:val="clear" w:color="000000" w:fill="F2F2F2"/>
            <w:vAlign w:val="center"/>
          </w:tcPr>
          <w:p w14:paraId="1946657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257</w:t>
            </w:r>
          </w:p>
        </w:tc>
        <w:tc>
          <w:tcPr>
            <w:tcW w:w="737" w:type="dxa"/>
            <w:tcBorders>
              <w:left w:val="nil"/>
              <w:right w:val="nil"/>
            </w:tcBorders>
            <w:shd w:val="clear" w:color="000000" w:fill="F2F2F2"/>
            <w:vAlign w:val="center"/>
          </w:tcPr>
          <w:p w14:paraId="3CB0821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255</w:t>
            </w:r>
          </w:p>
        </w:tc>
        <w:tc>
          <w:tcPr>
            <w:tcW w:w="737" w:type="dxa"/>
            <w:tcBorders>
              <w:left w:val="nil"/>
              <w:right w:val="nil"/>
            </w:tcBorders>
            <w:shd w:val="clear" w:color="000000" w:fill="F2F2F2"/>
            <w:vAlign w:val="center"/>
          </w:tcPr>
          <w:p w14:paraId="5A7C8F9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197</w:t>
            </w:r>
          </w:p>
        </w:tc>
        <w:tc>
          <w:tcPr>
            <w:tcW w:w="737" w:type="dxa"/>
            <w:tcBorders>
              <w:left w:val="nil"/>
              <w:right w:val="nil"/>
            </w:tcBorders>
            <w:shd w:val="clear" w:color="000000" w:fill="F2F2F2"/>
            <w:vAlign w:val="center"/>
          </w:tcPr>
          <w:p w14:paraId="779D73C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231</w:t>
            </w:r>
          </w:p>
        </w:tc>
        <w:tc>
          <w:tcPr>
            <w:tcW w:w="737" w:type="dxa"/>
            <w:tcBorders>
              <w:left w:val="nil"/>
              <w:right w:val="nil"/>
            </w:tcBorders>
            <w:shd w:val="clear" w:color="000000" w:fill="F2F2F2"/>
            <w:vAlign w:val="center"/>
          </w:tcPr>
          <w:p w14:paraId="6E6EEC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308198D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216</w:t>
            </w:r>
          </w:p>
        </w:tc>
        <w:tc>
          <w:tcPr>
            <w:tcW w:w="737" w:type="dxa"/>
            <w:tcBorders>
              <w:left w:val="nil"/>
              <w:right w:val="nil"/>
            </w:tcBorders>
            <w:shd w:val="clear" w:color="000000" w:fill="F2F2F2"/>
            <w:vAlign w:val="center"/>
          </w:tcPr>
          <w:p w14:paraId="76D1B07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242</w:t>
            </w:r>
          </w:p>
        </w:tc>
        <w:tc>
          <w:tcPr>
            <w:tcW w:w="737" w:type="dxa"/>
            <w:tcBorders>
              <w:left w:val="nil"/>
              <w:right w:val="nil"/>
            </w:tcBorders>
            <w:shd w:val="clear" w:color="000000" w:fill="F2F2F2"/>
            <w:vAlign w:val="center"/>
          </w:tcPr>
          <w:p w14:paraId="656AE9A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217</w:t>
            </w:r>
          </w:p>
        </w:tc>
        <w:tc>
          <w:tcPr>
            <w:tcW w:w="948" w:type="dxa"/>
            <w:tcBorders>
              <w:left w:val="nil"/>
              <w:right w:val="nil"/>
            </w:tcBorders>
            <w:shd w:val="clear" w:color="000000" w:fill="F2F2F2"/>
            <w:vAlign w:val="center"/>
          </w:tcPr>
          <w:p w14:paraId="5193207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224</w:t>
            </w:r>
          </w:p>
        </w:tc>
        <w:tc>
          <w:tcPr>
            <w:tcW w:w="737" w:type="dxa"/>
            <w:tcBorders>
              <w:left w:val="nil"/>
              <w:right w:val="nil"/>
            </w:tcBorders>
            <w:shd w:val="clear" w:color="000000" w:fill="F2F2F2"/>
            <w:vAlign w:val="center"/>
          </w:tcPr>
          <w:p w14:paraId="1451127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276</w:t>
            </w:r>
          </w:p>
        </w:tc>
        <w:tc>
          <w:tcPr>
            <w:tcW w:w="918" w:type="dxa"/>
            <w:tcBorders>
              <w:left w:val="nil"/>
              <w:right w:val="nil"/>
            </w:tcBorders>
            <w:shd w:val="clear" w:color="000000" w:fill="F2F2F2"/>
            <w:vAlign w:val="center"/>
          </w:tcPr>
          <w:p w14:paraId="053DBFD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283</w:t>
            </w:r>
          </w:p>
        </w:tc>
        <w:tc>
          <w:tcPr>
            <w:tcW w:w="857" w:type="dxa"/>
            <w:gridSpan w:val="2"/>
            <w:tcBorders>
              <w:left w:val="nil"/>
              <w:right w:val="nil"/>
            </w:tcBorders>
            <w:shd w:val="clear" w:color="000000" w:fill="F2F2F2"/>
            <w:vAlign w:val="center"/>
          </w:tcPr>
          <w:p w14:paraId="2CF54A7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212</w:t>
            </w:r>
          </w:p>
        </w:tc>
      </w:tr>
      <w:tr w:rsidR="0002360D" w:rsidRPr="005946C5" w14:paraId="1BF82623" w14:textId="77777777" w:rsidTr="00ED10B2">
        <w:trPr>
          <w:trHeight w:val="283"/>
          <w:jc w:val="center"/>
        </w:trPr>
        <w:tc>
          <w:tcPr>
            <w:tcW w:w="680" w:type="dxa"/>
            <w:tcBorders>
              <w:left w:val="nil"/>
              <w:right w:val="nil"/>
            </w:tcBorders>
            <w:shd w:val="clear" w:color="000000" w:fill="F2F2F2"/>
            <w:vAlign w:val="center"/>
          </w:tcPr>
          <w:p w14:paraId="167D80E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w:t>
            </w:r>
          </w:p>
        </w:tc>
        <w:tc>
          <w:tcPr>
            <w:tcW w:w="737" w:type="dxa"/>
            <w:tcBorders>
              <w:left w:val="nil"/>
              <w:right w:val="nil"/>
            </w:tcBorders>
            <w:shd w:val="clear" w:color="000000" w:fill="F2F2F2"/>
            <w:vAlign w:val="center"/>
          </w:tcPr>
          <w:p w14:paraId="67C5F15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201</w:t>
            </w:r>
          </w:p>
        </w:tc>
        <w:tc>
          <w:tcPr>
            <w:tcW w:w="737" w:type="dxa"/>
            <w:tcBorders>
              <w:left w:val="nil"/>
              <w:right w:val="nil"/>
            </w:tcBorders>
            <w:shd w:val="clear" w:color="000000" w:fill="F2F2F2"/>
            <w:vAlign w:val="center"/>
          </w:tcPr>
          <w:p w14:paraId="2FC9240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w:t>
            </w:r>
          </w:p>
        </w:tc>
        <w:tc>
          <w:tcPr>
            <w:tcW w:w="737" w:type="dxa"/>
            <w:tcBorders>
              <w:left w:val="nil"/>
              <w:right w:val="nil"/>
            </w:tcBorders>
            <w:shd w:val="clear" w:color="000000" w:fill="F2F2F2"/>
            <w:vAlign w:val="center"/>
          </w:tcPr>
          <w:p w14:paraId="5278C11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240</w:t>
            </w:r>
          </w:p>
        </w:tc>
        <w:tc>
          <w:tcPr>
            <w:tcW w:w="737" w:type="dxa"/>
            <w:tcBorders>
              <w:left w:val="nil"/>
              <w:right w:val="nil"/>
            </w:tcBorders>
            <w:shd w:val="clear" w:color="000000" w:fill="F2F2F2"/>
            <w:vAlign w:val="center"/>
          </w:tcPr>
          <w:p w14:paraId="7D947C4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240</w:t>
            </w:r>
          </w:p>
        </w:tc>
        <w:tc>
          <w:tcPr>
            <w:tcW w:w="737" w:type="dxa"/>
            <w:tcBorders>
              <w:left w:val="nil"/>
              <w:right w:val="nil"/>
            </w:tcBorders>
            <w:shd w:val="clear" w:color="000000" w:fill="F2F2F2"/>
            <w:vAlign w:val="center"/>
          </w:tcPr>
          <w:p w14:paraId="447173D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209</w:t>
            </w:r>
          </w:p>
        </w:tc>
        <w:tc>
          <w:tcPr>
            <w:tcW w:w="737" w:type="dxa"/>
            <w:tcBorders>
              <w:left w:val="nil"/>
              <w:right w:val="nil"/>
            </w:tcBorders>
            <w:shd w:val="clear" w:color="000000" w:fill="F2F2F2"/>
            <w:vAlign w:val="center"/>
          </w:tcPr>
          <w:p w14:paraId="4F76895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216</w:t>
            </w:r>
          </w:p>
        </w:tc>
        <w:tc>
          <w:tcPr>
            <w:tcW w:w="737" w:type="dxa"/>
            <w:tcBorders>
              <w:left w:val="nil"/>
              <w:right w:val="nil"/>
            </w:tcBorders>
            <w:shd w:val="clear" w:color="000000" w:fill="F2F2F2"/>
            <w:vAlign w:val="center"/>
          </w:tcPr>
          <w:p w14:paraId="117F1D2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199</w:t>
            </w:r>
          </w:p>
        </w:tc>
        <w:tc>
          <w:tcPr>
            <w:tcW w:w="737" w:type="dxa"/>
            <w:tcBorders>
              <w:left w:val="nil"/>
              <w:right w:val="nil"/>
            </w:tcBorders>
            <w:shd w:val="clear" w:color="000000" w:fill="F2F2F2"/>
            <w:vAlign w:val="center"/>
          </w:tcPr>
          <w:p w14:paraId="548E3F8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218</w:t>
            </w:r>
          </w:p>
        </w:tc>
        <w:tc>
          <w:tcPr>
            <w:tcW w:w="948" w:type="dxa"/>
            <w:tcBorders>
              <w:left w:val="nil"/>
              <w:right w:val="nil"/>
            </w:tcBorders>
            <w:shd w:val="clear" w:color="000000" w:fill="F2F2F2"/>
            <w:vAlign w:val="center"/>
          </w:tcPr>
          <w:p w14:paraId="702705A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224</w:t>
            </w:r>
          </w:p>
        </w:tc>
        <w:tc>
          <w:tcPr>
            <w:tcW w:w="737" w:type="dxa"/>
            <w:tcBorders>
              <w:left w:val="nil"/>
              <w:right w:val="nil"/>
            </w:tcBorders>
            <w:shd w:val="clear" w:color="000000" w:fill="F2F2F2"/>
            <w:vAlign w:val="center"/>
          </w:tcPr>
          <w:p w14:paraId="24102CE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265</w:t>
            </w:r>
          </w:p>
        </w:tc>
        <w:tc>
          <w:tcPr>
            <w:tcW w:w="918" w:type="dxa"/>
            <w:tcBorders>
              <w:left w:val="nil"/>
              <w:right w:val="nil"/>
            </w:tcBorders>
            <w:shd w:val="clear" w:color="000000" w:fill="F2F2F2"/>
            <w:vAlign w:val="center"/>
          </w:tcPr>
          <w:p w14:paraId="1B96BEE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w:t>
            </w:r>
          </w:p>
        </w:tc>
        <w:tc>
          <w:tcPr>
            <w:tcW w:w="857" w:type="dxa"/>
            <w:gridSpan w:val="2"/>
            <w:tcBorders>
              <w:left w:val="nil"/>
              <w:right w:val="nil"/>
            </w:tcBorders>
            <w:shd w:val="clear" w:color="000000" w:fill="F2F2F2"/>
            <w:vAlign w:val="center"/>
          </w:tcPr>
          <w:p w14:paraId="0125A3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212</w:t>
            </w:r>
          </w:p>
        </w:tc>
      </w:tr>
      <w:tr w:rsidR="0002360D" w:rsidRPr="005946C5" w14:paraId="40B8882D" w14:textId="77777777" w:rsidTr="00ED10B2">
        <w:trPr>
          <w:trHeight w:val="283"/>
          <w:jc w:val="center"/>
        </w:trPr>
        <w:tc>
          <w:tcPr>
            <w:tcW w:w="680" w:type="dxa"/>
            <w:tcBorders>
              <w:left w:val="nil"/>
              <w:right w:val="nil"/>
            </w:tcBorders>
            <w:shd w:val="clear" w:color="000000" w:fill="F2F2F2"/>
            <w:vAlign w:val="center"/>
          </w:tcPr>
          <w:p w14:paraId="19DBC4E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w:t>
            </w:r>
          </w:p>
        </w:tc>
        <w:tc>
          <w:tcPr>
            <w:tcW w:w="737" w:type="dxa"/>
            <w:tcBorders>
              <w:left w:val="nil"/>
              <w:right w:val="nil"/>
            </w:tcBorders>
            <w:shd w:val="clear" w:color="000000" w:fill="F2F2F2"/>
            <w:vAlign w:val="center"/>
          </w:tcPr>
          <w:p w14:paraId="1F1E0CD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201</w:t>
            </w:r>
          </w:p>
        </w:tc>
        <w:tc>
          <w:tcPr>
            <w:tcW w:w="737" w:type="dxa"/>
            <w:tcBorders>
              <w:left w:val="nil"/>
              <w:right w:val="nil"/>
            </w:tcBorders>
            <w:shd w:val="clear" w:color="000000" w:fill="F2F2F2"/>
            <w:vAlign w:val="center"/>
          </w:tcPr>
          <w:p w14:paraId="5EDEEB9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29017F8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237</w:t>
            </w:r>
          </w:p>
        </w:tc>
        <w:tc>
          <w:tcPr>
            <w:tcW w:w="737" w:type="dxa"/>
            <w:tcBorders>
              <w:left w:val="nil"/>
              <w:right w:val="nil"/>
            </w:tcBorders>
            <w:shd w:val="clear" w:color="000000" w:fill="F2F2F2"/>
            <w:vAlign w:val="center"/>
          </w:tcPr>
          <w:p w14:paraId="3987051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297</w:t>
            </w:r>
          </w:p>
        </w:tc>
        <w:tc>
          <w:tcPr>
            <w:tcW w:w="737" w:type="dxa"/>
            <w:tcBorders>
              <w:left w:val="nil"/>
              <w:right w:val="nil"/>
            </w:tcBorders>
            <w:shd w:val="clear" w:color="000000" w:fill="F2F2F2"/>
            <w:vAlign w:val="center"/>
          </w:tcPr>
          <w:p w14:paraId="0BDBE88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255</w:t>
            </w:r>
          </w:p>
        </w:tc>
        <w:tc>
          <w:tcPr>
            <w:tcW w:w="737" w:type="dxa"/>
            <w:tcBorders>
              <w:left w:val="nil"/>
              <w:right w:val="nil"/>
            </w:tcBorders>
            <w:shd w:val="clear" w:color="000000" w:fill="F2F2F2"/>
            <w:vAlign w:val="center"/>
          </w:tcPr>
          <w:p w14:paraId="0E7539D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264</w:t>
            </w:r>
          </w:p>
        </w:tc>
        <w:tc>
          <w:tcPr>
            <w:tcW w:w="737" w:type="dxa"/>
            <w:tcBorders>
              <w:left w:val="nil"/>
              <w:right w:val="nil"/>
            </w:tcBorders>
            <w:shd w:val="clear" w:color="000000" w:fill="F2F2F2"/>
            <w:vAlign w:val="center"/>
          </w:tcPr>
          <w:p w14:paraId="4238FE6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194</w:t>
            </w:r>
          </w:p>
        </w:tc>
        <w:tc>
          <w:tcPr>
            <w:tcW w:w="737" w:type="dxa"/>
            <w:tcBorders>
              <w:left w:val="nil"/>
              <w:right w:val="nil"/>
            </w:tcBorders>
            <w:shd w:val="clear" w:color="000000" w:fill="F2F2F2"/>
            <w:vAlign w:val="center"/>
          </w:tcPr>
          <w:p w14:paraId="1F8423E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266</w:t>
            </w:r>
          </w:p>
        </w:tc>
        <w:tc>
          <w:tcPr>
            <w:tcW w:w="948" w:type="dxa"/>
            <w:tcBorders>
              <w:left w:val="nil"/>
              <w:right w:val="nil"/>
            </w:tcBorders>
            <w:shd w:val="clear" w:color="000000" w:fill="F2F2F2"/>
            <w:vAlign w:val="center"/>
          </w:tcPr>
          <w:p w14:paraId="2B6181F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274</w:t>
            </w:r>
          </w:p>
        </w:tc>
        <w:tc>
          <w:tcPr>
            <w:tcW w:w="737" w:type="dxa"/>
            <w:tcBorders>
              <w:left w:val="nil"/>
              <w:right w:val="nil"/>
            </w:tcBorders>
            <w:shd w:val="clear" w:color="000000" w:fill="F2F2F2"/>
            <w:vAlign w:val="center"/>
          </w:tcPr>
          <w:p w14:paraId="56C4045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208</w:t>
            </w:r>
          </w:p>
        </w:tc>
        <w:tc>
          <w:tcPr>
            <w:tcW w:w="918" w:type="dxa"/>
            <w:tcBorders>
              <w:left w:val="nil"/>
              <w:right w:val="nil"/>
            </w:tcBorders>
            <w:shd w:val="clear" w:color="000000" w:fill="F2F2F2"/>
            <w:vAlign w:val="center"/>
          </w:tcPr>
          <w:p w14:paraId="38E8A55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501B41CF"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259</w:t>
            </w:r>
          </w:p>
        </w:tc>
      </w:tr>
      <w:tr w:rsidR="0002360D" w:rsidRPr="005946C5" w14:paraId="2D6CF2BE" w14:textId="77777777" w:rsidTr="00ED10B2">
        <w:trPr>
          <w:trHeight w:val="283"/>
          <w:jc w:val="center"/>
        </w:trPr>
        <w:tc>
          <w:tcPr>
            <w:tcW w:w="680" w:type="dxa"/>
            <w:tcBorders>
              <w:left w:val="nil"/>
              <w:right w:val="nil"/>
            </w:tcBorders>
            <w:shd w:val="clear" w:color="000000" w:fill="F2F2F2"/>
            <w:vAlign w:val="center"/>
          </w:tcPr>
          <w:p w14:paraId="024D085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21</w:t>
            </w:r>
          </w:p>
        </w:tc>
        <w:tc>
          <w:tcPr>
            <w:tcW w:w="737" w:type="dxa"/>
            <w:tcBorders>
              <w:left w:val="nil"/>
              <w:right w:val="nil"/>
            </w:tcBorders>
            <w:shd w:val="clear" w:color="000000" w:fill="F2F2F2"/>
            <w:vAlign w:val="center"/>
          </w:tcPr>
          <w:p w14:paraId="6046550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246</w:t>
            </w:r>
          </w:p>
        </w:tc>
        <w:tc>
          <w:tcPr>
            <w:tcW w:w="737" w:type="dxa"/>
            <w:tcBorders>
              <w:left w:val="nil"/>
              <w:right w:val="nil"/>
            </w:tcBorders>
            <w:shd w:val="clear" w:color="000000" w:fill="F2F2F2"/>
            <w:vAlign w:val="center"/>
          </w:tcPr>
          <w:p w14:paraId="053838A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58E1F9A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7032F16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6D63DAA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251</w:t>
            </w:r>
          </w:p>
        </w:tc>
        <w:tc>
          <w:tcPr>
            <w:tcW w:w="737" w:type="dxa"/>
            <w:tcBorders>
              <w:left w:val="nil"/>
              <w:right w:val="nil"/>
            </w:tcBorders>
            <w:shd w:val="clear" w:color="000000" w:fill="F2F2F2"/>
            <w:vAlign w:val="center"/>
          </w:tcPr>
          <w:p w14:paraId="2AC90C2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261</w:t>
            </w:r>
          </w:p>
        </w:tc>
        <w:tc>
          <w:tcPr>
            <w:tcW w:w="737" w:type="dxa"/>
            <w:tcBorders>
              <w:left w:val="nil"/>
              <w:right w:val="nil"/>
            </w:tcBorders>
            <w:shd w:val="clear" w:color="000000" w:fill="F2F2F2"/>
            <w:vAlign w:val="center"/>
          </w:tcPr>
          <w:p w14:paraId="7DE4A80E"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232</w:t>
            </w:r>
          </w:p>
        </w:tc>
        <w:tc>
          <w:tcPr>
            <w:tcW w:w="737" w:type="dxa"/>
            <w:tcBorders>
              <w:left w:val="nil"/>
              <w:right w:val="nil"/>
            </w:tcBorders>
            <w:shd w:val="clear" w:color="000000" w:fill="F2F2F2"/>
            <w:vAlign w:val="center"/>
          </w:tcPr>
          <w:p w14:paraId="48102A8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262</w:t>
            </w:r>
          </w:p>
        </w:tc>
        <w:tc>
          <w:tcPr>
            <w:tcW w:w="948" w:type="dxa"/>
            <w:tcBorders>
              <w:left w:val="nil"/>
              <w:right w:val="nil"/>
            </w:tcBorders>
            <w:shd w:val="clear" w:color="000000" w:fill="F2F2F2"/>
            <w:vAlign w:val="center"/>
          </w:tcPr>
          <w:p w14:paraId="2F3B75C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270</w:t>
            </w:r>
          </w:p>
        </w:tc>
        <w:tc>
          <w:tcPr>
            <w:tcW w:w="737" w:type="dxa"/>
            <w:tcBorders>
              <w:left w:val="nil"/>
              <w:right w:val="nil"/>
            </w:tcBorders>
            <w:shd w:val="clear" w:color="000000" w:fill="F2F2F2"/>
            <w:vAlign w:val="center"/>
          </w:tcPr>
          <w:p w14:paraId="1722F24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208</w:t>
            </w:r>
          </w:p>
        </w:tc>
        <w:tc>
          <w:tcPr>
            <w:tcW w:w="918" w:type="dxa"/>
            <w:tcBorders>
              <w:left w:val="nil"/>
              <w:right w:val="nil"/>
            </w:tcBorders>
            <w:shd w:val="clear" w:color="000000" w:fill="F2F2F2"/>
            <w:vAlign w:val="center"/>
          </w:tcPr>
          <w:p w14:paraId="32B50EC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67045CE7"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256</w:t>
            </w:r>
          </w:p>
        </w:tc>
      </w:tr>
      <w:tr w:rsidR="0002360D" w:rsidRPr="005946C5" w14:paraId="009C14A3" w14:textId="77777777" w:rsidTr="00ED10B2">
        <w:trPr>
          <w:trHeight w:val="283"/>
          <w:jc w:val="center"/>
        </w:trPr>
        <w:tc>
          <w:tcPr>
            <w:tcW w:w="680" w:type="dxa"/>
            <w:tcBorders>
              <w:left w:val="nil"/>
              <w:right w:val="nil"/>
            </w:tcBorders>
            <w:shd w:val="clear" w:color="000000" w:fill="F2F2F2"/>
            <w:vAlign w:val="center"/>
          </w:tcPr>
          <w:p w14:paraId="47A9414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w:t>
            </w:r>
          </w:p>
        </w:tc>
        <w:tc>
          <w:tcPr>
            <w:tcW w:w="737" w:type="dxa"/>
            <w:tcBorders>
              <w:left w:val="nil"/>
              <w:right w:val="nil"/>
            </w:tcBorders>
            <w:shd w:val="clear" w:color="000000" w:fill="F2F2F2"/>
            <w:vAlign w:val="center"/>
          </w:tcPr>
          <w:p w14:paraId="433A5454"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243</w:t>
            </w:r>
          </w:p>
        </w:tc>
        <w:tc>
          <w:tcPr>
            <w:tcW w:w="737" w:type="dxa"/>
            <w:tcBorders>
              <w:left w:val="nil"/>
              <w:right w:val="nil"/>
            </w:tcBorders>
            <w:shd w:val="clear" w:color="000000" w:fill="F2F2F2"/>
            <w:vAlign w:val="center"/>
          </w:tcPr>
          <w:p w14:paraId="2FC1E6F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3CC58FE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022D8CE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28830516"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4566D2F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14B7500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207</w:t>
            </w:r>
          </w:p>
        </w:tc>
        <w:tc>
          <w:tcPr>
            <w:tcW w:w="737" w:type="dxa"/>
            <w:tcBorders>
              <w:left w:val="nil"/>
              <w:right w:val="nil"/>
            </w:tcBorders>
            <w:shd w:val="clear" w:color="000000" w:fill="F2F2F2"/>
            <w:vAlign w:val="center"/>
          </w:tcPr>
          <w:p w14:paraId="5784F1C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948" w:type="dxa"/>
            <w:tcBorders>
              <w:left w:val="nil"/>
              <w:right w:val="nil"/>
            </w:tcBorders>
            <w:shd w:val="clear" w:color="000000" w:fill="F2F2F2"/>
            <w:vAlign w:val="center"/>
          </w:tcPr>
          <w:p w14:paraId="223C611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0164BA1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254</w:t>
            </w:r>
          </w:p>
        </w:tc>
        <w:tc>
          <w:tcPr>
            <w:tcW w:w="918" w:type="dxa"/>
            <w:tcBorders>
              <w:left w:val="nil"/>
              <w:right w:val="nil"/>
            </w:tcBorders>
            <w:shd w:val="clear" w:color="000000" w:fill="F2F2F2"/>
            <w:vAlign w:val="center"/>
          </w:tcPr>
          <w:p w14:paraId="1043FA4C"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1AE5E558"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r>
      <w:tr w:rsidR="0002360D" w:rsidRPr="005946C5" w14:paraId="14D5CB64" w14:textId="77777777" w:rsidTr="00ED10B2">
        <w:trPr>
          <w:trHeight w:val="283"/>
          <w:jc w:val="center"/>
        </w:trPr>
        <w:tc>
          <w:tcPr>
            <w:tcW w:w="680" w:type="dxa"/>
            <w:tcBorders>
              <w:left w:val="nil"/>
              <w:right w:val="nil"/>
            </w:tcBorders>
            <w:shd w:val="clear" w:color="000000" w:fill="F2F2F2"/>
            <w:vAlign w:val="center"/>
          </w:tcPr>
          <w:p w14:paraId="7ED05AC2"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23</w:t>
            </w:r>
          </w:p>
        </w:tc>
        <w:tc>
          <w:tcPr>
            <w:tcW w:w="737" w:type="dxa"/>
            <w:tcBorders>
              <w:left w:val="nil"/>
              <w:right w:val="nil"/>
            </w:tcBorders>
            <w:shd w:val="clear" w:color="000000" w:fill="F2F2F2"/>
            <w:vAlign w:val="center"/>
          </w:tcPr>
          <w:p w14:paraId="1A36CD1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436785E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75891435"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26D929E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7429EF2A"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07C91373"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47FBD98D"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226</w:t>
            </w:r>
          </w:p>
        </w:tc>
        <w:tc>
          <w:tcPr>
            <w:tcW w:w="737" w:type="dxa"/>
            <w:tcBorders>
              <w:left w:val="nil"/>
              <w:right w:val="nil"/>
            </w:tcBorders>
            <w:shd w:val="clear" w:color="000000" w:fill="F2F2F2"/>
            <w:vAlign w:val="center"/>
          </w:tcPr>
          <w:p w14:paraId="23D5C79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948" w:type="dxa"/>
            <w:tcBorders>
              <w:left w:val="nil"/>
              <w:right w:val="nil"/>
            </w:tcBorders>
            <w:shd w:val="clear" w:color="000000" w:fill="F2F2F2"/>
            <w:vAlign w:val="center"/>
          </w:tcPr>
          <w:p w14:paraId="5B56F619"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737" w:type="dxa"/>
            <w:tcBorders>
              <w:left w:val="nil"/>
              <w:right w:val="nil"/>
            </w:tcBorders>
            <w:shd w:val="clear" w:color="000000" w:fill="F2F2F2"/>
            <w:vAlign w:val="center"/>
          </w:tcPr>
          <w:p w14:paraId="322BFBCB"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250</w:t>
            </w:r>
          </w:p>
        </w:tc>
        <w:tc>
          <w:tcPr>
            <w:tcW w:w="918" w:type="dxa"/>
            <w:tcBorders>
              <w:left w:val="nil"/>
              <w:right w:val="nil"/>
            </w:tcBorders>
            <w:shd w:val="clear" w:color="000000" w:fill="F2F2F2"/>
            <w:vAlign w:val="center"/>
          </w:tcPr>
          <w:p w14:paraId="5C676500"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c>
          <w:tcPr>
            <w:tcW w:w="857" w:type="dxa"/>
            <w:gridSpan w:val="2"/>
            <w:tcBorders>
              <w:left w:val="nil"/>
              <w:right w:val="nil"/>
            </w:tcBorders>
            <w:shd w:val="clear" w:color="000000" w:fill="F2F2F2"/>
            <w:vAlign w:val="center"/>
          </w:tcPr>
          <w:p w14:paraId="059A8B11" w14:textId="77777777" w:rsidR="0002360D" w:rsidRPr="00730700" w:rsidRDefault="0002360D" w:rsidP="00ED10B2">
            <w:pPr>
              <w:spacing w:after="0" w:line="240" w:lineRule="auto"/>
              <w:jc w:val="center"/>
              <w:rPr>
                <w:rFonts w:ascii="Noto Sans" w:eastAsia="Times New Roman" w:hAnsi="Noto Sans" w:cs="Noto Sans"/>
                <w:color w:val="000000"/>
                <w:sz w:val="15"/>
                <w:szCs w:val="15"/>
                <w:lang w:eastAsia="es-MX"/>
              </w:rPr>
            </w:pPr>
            <w:r w:rsidRPr="00730700">
              <w:rPr>
                <w:rFonts w:ascii="Noto Sans" w:eastAsia="Times New Roman" w:hAnsi="Noto Sans" w:cs="Noto Sans"/>
                <w:color w:val="000000"/>
                <w:sz w:val="15"/>
                <w:szCs w:val="15"/>
                <w:lang w:eastAsia="es-MX"/>
              </w:rPr>
              <w:t>0</w:t>
            </w:r>
          </w:p>
        </w:tc>
      </w:tr>
      <w:tr w:rsidR="0002360D" w:rsidRPr="005946C5" w14:paraId="26A4304D" w14:textId="77777777" w:rsidTr="00ED10B2">
        <w:trPr>
          <w:trHeight w:val="283"/>
          <w:jc w:val="center"/>
        </w:trPr>
        <w:tc>
          <w:tcPr>
            <w:tcW w:w="680" w:type="dxa"/>
            <w:tcBorders>
              <w:left w:val="nil"/>
              <w:bottom w:val="single" w:sz="12" w:space="0" w:color="A6802D"/>
              <w:right w:val="nil"/>
            </w:tcBorders>
            <w:shd w:val="clear" w:color="000000" w:fill="F2F2F2"/>
            <w:vAlign w:val="center"/>
          </w:tcPr>
          <w:p w14:paraId="68E8885A"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lang w:eastAsia="es-MX"/>
              </w:rPr>
              <w:t>Total</w:t>
            </w:r>
          </w:p>
        </w:tc>
        <w:tc>
          <w:tcPr>
            <w:tcW w:w="737" w:type="dxa"/>
            <w:tcBorders>
              <w:left w:val="nil"/>
              <w:bottom w:val="single" w:sz="12" w:space="0" w:color="A6802D"/>
              <w:right w:val="nil"/>
            </w:tcBorders>
            <w:shd w:val="clear" w:color="000000" w:fill="F2F2F2"/>
            <w:vAlign w:val="center"/>
          </w:tcPr>
          <w:p w14:paraId="3BC3DA69"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rPr>
              <w:t>47,275</w:t>
            </w:r>
          </w:p>
        </w:tc>
        <w:tc>
          <w:tcPr>
            <w:tcW w:w="737" w:type="dxa"/>
            <w:tcBorders>
              <w:left w:val="nil"/>
              <w:bottom w:val="single" w:sz="12" w:space="0" w:color="A6802D"/>
              <w:right w:val="nil"/>
            </w:tcBorders>
            <w:shd w:val="clear" w:color="000000" w:fill="F2F2F2"/>
            <w:vAlign w:val="center"/>
          </w:tcPr>
          <w:p w14:paraId="639EAF55"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48,037</w:t>
            </w:r>
          </w:p>
        </w:tc>
        <w:tc>
          <w:tcPr>
            <w:tcW w:w="737" w:type="dxa"/>
            <w:tcBorders>
              <w:left w:val="nil"/>
              <w:bottom w:val="single" w:sz="12" w:space="0" w:color="A6802D"/>
              <w:right w:val="nil"/>
            </w:tcBorders>
            <w:shd w:val="clear" w:color="000000" w:fill="F2F2F2"/>
            <w:vAlign w:val="center"/>
          </w:tcPr>
          <w:p w14:paraId="59B92AC4"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45,593</w:t>
            </w:r>
          </w:p>
        </w:tc>
        <w:tc>
          <w:tcPr>
            <w:tcW w:w="737" w:type="dxa"/>
            <w:tcBorders>
              <w:left w:val="nil"/>
              <w:bottom w:val="single" w:sz="12" w:space="0" w:color="A6802D"/>
              <w:right w:val="nil"/>
            </w:tcBorders>
            <w:shd w:val="clear" w:color="000000" w:fill="F2F2F2"/>
            <w:vAlign w:val="center"/>
          </w:tcPr>
          <w:p w14:paraId="2FAA87B5"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49,731</w:t>
            </w:r>
          </w:p>
        </w:tc>
        <w:tc>
          <w:tcPr>
            <w:tcW w:w="737" w:type="dxa"/>
            <w:tcBorders>
              <w:left w:val="nil"/>
              <w:bottom w:val="single" w:sz="12" w:space="0" w:color="A6802D"/>
              <w:right w:val="nil"/>
            </w:tcBorders>
            <w:shd w:val="clear" w:color="000000" w:fill="F2F2F2"/>
            <w:vAlign w:val="center"/>
          </w:tcPr>
          <w:p w14:paraId="3C24F0D0"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49,066</w:t>
            </w:r>
          </w:p>
        </w:tc>
        <w:tc>
          <w:tcPr>
            <w:tcW w:w="737" w:type="dxa"/>
            <w:tcBorders>
              <w:left w:val="nil"/>
              <w:bottom w:val="single" w:sz="12" w:space="0" w:color="A6802D"/>
              <w:right w:val="nil"/>
            </w:tcBorders>
            <w:shd w:val="clear" w:color="000000" w:fill="F2F2F2"/>
            <w:vAlign w:val="center"/>
          </w:tcPr>
          <w:p w14:paraId="70372F08"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50,748</w:t>
            </w:r>
          </w:p>
        </w:tc>
        <w:tc>
          <w:tcPr>
            <w:tcW w:w="737" w:type="dxa"/>
            <w:tcBorders>
              <w:left w:val="nil"/>
              <w:bottom w:val="single" w:sz="12" w:space="0" w:color="A6802D"/>
              <w:right w:val="nil"/>
            </w:tcBorders>
            <w:shd w:val="clear" w:color="000000" w:fill="F2F2F2"/>
            <w:vAlign w:val="center"/>
          </w:tcPr>
          <w:p w14:paraId="10142D16"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lang w:eastAsia="es-MX"/>
              </w:rPr>
              <w:t>50,152</w:t>
            </w:r>
          </w:p>
        </w:tc>
        <w:tc>
          <w:tcPr>
            <w:tcW w:w="737" w:type="dxa"/>
            <w:tcBorders>
              <w:left w:val="nil"/>
              <w:bottom w:val="single" w:sz="12" w:space="0" w:color="A6802D"/>
              <w:right w:val="nil"/>
            </w:tcBorders>
            <w:shd w:val="clear" w:color="000000" w:fill="F2F2F2"/>
            <w:vAlign w:val="center"/>
          </w:tcPr>
          <w:p w14:paraId="71125D1C"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eastAsia="Times New Roman" w:hAnsi="Noto Sans" w:cs="Noto Sans"/>
                <w:b/>
                <w:bCs/>
                <w:color w:val="000000"/>
                <w:sz w:val="15"/>
                <w:szCs w:val="15"/>
              </w:rPr>
              <w:t>51,072</w:t>
            </w:r>
          </w:p>
        </w:tc>
        <w:tc>
          <w:tcPr>
            <w:tcW w:w="948" w:type="dxa"/>
            <w:tcBorders>
              <w:left w:val="nil"/>
              <w:bottom w:val="single" w:sz="12" w:space="0" w:color="A6802D"/>
              <w:right w:val="nil"/>
            </w:tcBorders>
            <w:shd w:val="clear" w:color="000000" w:fill="F2F2F2"/>
            <w:vAlign w:val="center"/>
          </w:tcPr>
          <w:p w14:paraId="688AFD3F"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52,549</w:t>
            </w:r>
          </w:p>
        </w:tc>
        <w:tc>
          <w:tcPr>
            <w:tcW w:w="737" w:type="dxa"/>
            <w:tcBorders>
              <w:left w:val="nil"/>
              <w:bottom w:val="single" w:sz="12" w:space="0" w:color="A6802D"/>
              <w:right w:val="nil"/>
            </w:tcBorders>
            <w:shd w:val="clear" w:color="000000" w:fill="F2F2F2"/>
            <w:vAlign w:val="center"/>
          </w:tcPr>
          <w:p w14:paraId="37224051"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49,857</w:t>
            </w:r>
          </w:p>
        </w:tc>
        <w:tc>
          <w:tcPr>
            <w:tcW w:w="918" w:type="dxa"/>
            <w:tcBorders>
              <w:left w:val="nil"/>
              <w:bottom w:val="single" w:sz="12" w:space="0" w:color="A6802D"/>
              <w:right w:val="nil"/>
            </w:tcBorders>
            <w:shd w:val="clear" w:color="000000" w:fill="F2F2F2"/>
            <w:vAlign w:val="center"/>
          </w:tcPr>
          <w:p w14:paraId="380A2284"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51,253</w:t>
            </w:r>
          </w:p>
        </w:tc>
        <w:tc>
          <w:tcPr>
            <w:tcW w:w="857" w:type="dxa"/>
            <w:gridSpan w:val="2"/>
            <w:tcBorders>
              <w:left w:val="nil"/>
              <w:bottom w:val="single" w:sz="12" w:space="0" w:color="A6802D"/>
              <w:right w:val="nil"/>
            </w:tcBorders>
            <w:shd w:val="clear" w:color="000000" w:fill="F2F2F2"/>
            <w:vAlign w:val="center"/>
          </w:tcPr>
          <w:p w14:paraId="77DAF98B" w14:textId="77777777" w:rsidR="0002360D" w:rsidRPr="00730700" w:rsidRDefault="0002360D" w:rsidP="00ED10B2">
            <w:pPr>
              <w:spacing w:after="0" w:line="240" w:lineRule="auto"/>
              <w:jc w:val="center"/>
              <w:rPr>
                <w:rFonts w:ascii="Noto Sans" w:eastAsia="Times New Roman" w:hAnsi="Noto Sans" w:cs="Noto Sans"/>
                <w:b/>
                <w:bCs/>
                <w:color w:val="000000"/>
                <w:sz w:val="15"/>
                <w:szCs w:val="15"/>
                <w:lang w:eastAsia="es-MX"/>
              </w:rPr>
            </w:pPr>
            <w:r w:rsidRPr="00730700">
              <w:rPr>
                <w:rFonts w:ascii="Noto Sans" w:hAnsi="Noto Sans" w:cs="Noto Sans"/>
                <w:b/>
                <w:bCs/>
                <w:color w:val="000000"/>
                <w:sz w:val="15"/>
                <w:szCs w:val="15"/>
              </w:rPr>
              <w:t>49,792</w:t>
            </w:r>
          </w:p>
        </w:tc>
      </w:tr>
      <w:tr w:rsidR="0002360D" w:rsidRPr="00274555" w14:paraId="6B8A587B" w14:textId="77777777" w:rsidTr="00ED10B2">
        <w:trPr>
          <w:gridAfter w:val="1"/>
          <w:wAfter w:w="113" w:type="dxa"/>
          <w:trHeight w:val="226"/>
          <w:jc w:val="center"/>
        </w:trPr>
        <w:tc>
          <w:tcPr>
            <w:tcW w:w="9923" w:type="dxa"/>
            <w:gridSpan w:val="13"/>
            <w:tcBorders>
              <w:top w:val="single" w:sz="12" w:space="0" w:color="A6802D"/>
              <w:left w:val="nil"/>
            </w:tcBorders>
          </w:tcPr>
          <w:p w14:paraId="03DDB58B" w14:textId="77777777" w:rsidR="0002360D" w:rsidRPr="00274555" w:rsidRDefault="0002360D" w:rsidP="00ED10B2">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35714F5C" w14:textId="77777777" w:rsidR="0002360D" w:rsidRDefault="0002360D" w:rsidP="0002360D">
      <w:pPr>
        <w:pStyle w:val="TEXTONORMAL"/>
        <w:rPr>
          <w:rFonts w:cs="Noto Sans"/>
        </w:rPr>
      </w:pPr>
    </w:p>
    <w:p w14:paraId="74D5EA4E" w14:textId="473CF0F9" w:rsidR="0002360D" w:rsidRPr="00B16799" w:rsidRDefault="00B356AC" w:rsidP="00D06BE8">
      <w:pPr>
        <w:pStyle w:val="TEXTONORMAL"/>
        <w:numPr>
          <w:ilvl w:val="0"/>
          <w:numId w:val="92"/>
        </w:numPr>
        <w:ind w:left="357" w:hanging="357"/>
        <w:rPr>
          <w:rFonts w:cs="Noto Sans"/>
        </w:rPr>
      </w:pPr>
      <w:r>
        <w:rPr>
          <w:rFonts w:cs="Noto Sans"/>
        </w:rPr>
        <w:lastRenderedPageBreak/>
        <w:t xml:space="preserve">10. </w:t>
      </w:r>
      <w:r w:rsidR="0002360D" w:rsidRPr="00B16799">
        <w:rPr>
          <w:rFonts w:cs="Noto Sans"/>
        </w:rPr>
        <w:t>Información sobre la Deuda y el Reporte Analítico de la Deuda</w:t>
      </w:r>
    </w:p>
    <w:p w14:paraId="4D8AA041" w14:textId="4E0F5084" w:rsidR="0002360D" w:rsidRDefault="0002360D" w:rsidP="0002360D">
      <w:pPr>
        <w:pStyle w:val="TEXTONORMAL"/>
        <w:rPr>
          <w:rFonts w:cs="Noto Sans"/>
        </w:rPr>
      </w:pPr>
      <w:r w:rsidRPr="00B16799">
        <w:rPr>
          <w:rFonts w:cs="Noto Sans"/>
        </w:rPr>
        <w:t xml:space="preserve">De conformidad con el “Estado Analítico de la Deuda y Otros Pasivos”, los adeudos del IMSS se registran en el rubro de “Otros Pasivos” </w:t>
      </w:r>
      <w:r w:rsidR="00D80C17">
        <w:rPr>
          <w:rFonts w:cs="Noto Sans"/>
        </w:rPr>
        <w:t xml:space="preserve">al </w:t>
      </w:r>
      <w:r w:rsidR="00934900" w:rsidRPr="002B3F78">
        <w:rPr>
          <w:rFonts w:cs="Noto Sans"/>
          <w:szCs w:val="18"/>
        </w:rPr>
        <w:t>3</w:t>
      </w:r>
      <w:r w:rsidR="00934900">
        <w:rPr>
          <w:rFonts w:cs="Noto Sans"/>
          <w:szCs w:val="18"/>
        </w:rPr>
        <w:t>0</w:t>
      </w:r>
      <w:r w:rsidR="00934900" w:rsidRPr="002B3F78">
        <w:rPr>
          <w:rFonts w:cs="Noto Sans"/>
          <w:szCs w:val="18"/>
        </w:rPr>
        <w:t xml:space="preserve"> de </w:t>
      </w:r>
      <w:r w:rsidR="00934900">
        <w:rPr>
          <w:rFonts w:cs="Noto Sans"/>
          <w:szCs w:val="18"/>
        </w:rPr>
        <w:t>junio</w:t>
      </w:r>
      <w:r w:rsidR="00934900" w:rsidRPr="002B3F78">
        <w:rPr>
          <w:rFonts w:cs="Noto Sans"/>
          <w:szCs w:val="18"/>
        </w:rPr>
        <w:t xml:space="preserve"> </w:t>
      </w:r>
      <w:r w:rsidR="00D80C17">
        <w:rPr>
          <w:rFonts w:cs="Noto Sans"/>
        </w:rPr>
        <w:t xml:space="preserve">de </w:t>
      </w:r>
      <w:r w:rsidRPr="00B16799">
        <w:rPr>
          <w:rFonts w:cs="Noto Sans"/>
        </w:rPr>
        <w:t>202</w:t>
      </w:r>
      <w:r w:rsidR="00D80C17">
        <w:rPr>
          <w:rFonts w:cs="Noto Sans"/>
        </w:rPr>
        <w:t>5</w:t>
      </w:r>
      <w:r w:rsidRPr="00B16799">
        <w:rPr>
          <w:rFonts w:cs="Noto Sans"/>
        </w:rPr>
        <w:t xml:space="preserve"> por un importe </w:t>
      </w:r>
      <w:r w:rsidRPr="001310A1">
        <w:rPr>
          <w:rFonts w:cs="Noto Sans"/>
        </w:rPr>
        <w:t xml:space="preserve">de </w:t>
      </w:r>
      <w:r w:rsidR="00AF0318" w:rsidRPr="001310A1">
        <w:rPr>
          <w:rFonts w:cs="Noto Sans"/>
        </w:rPr>
        <w:t>7</w:t>
      </w:r>
      <w:r w:rsidR="00A47088" w:rsidRPr="001310A1">
        <w:rPr>
          <w:rFonts w:cs="Noto Sans"/>
        </w:rPr>
        <w:t>26,981,275,953.0</w:t>
      </w:r>
      <w:r w:rsidR="00D80C17" w:rsidRPr="001310A1">
        <w:rPr>
          <w:rFonts w:cs="Noto Sans"/>
        </w:rPr>
        <w:t xml:space="preserve"> pesos y al cierre de 2024 por </w:t>
      </w:r>
      <w:r w:rsidRPr="001310A1">
        <w:rPr>
          <w:rFonts w:eastAsia="Times New Roman" w:cs="Noto Sans"/>
          <w:bCs/>
          <w:color w:val="000000"/>
          <w:lang w:eastAsia="es-MX"/>
        </w:rPr>
        <w:t>582,206,694,963</w:t>
      </w:r>
      <w:r w:rsidR="00EA14A2" w:rsidRPr="001310A1">
        <w:rPr>
          <w:rFonts w:eastAsia="Times New Roman" w:cs="Noto Sans"/>
          <w:bCs/>
          <w:color w:val="000000"/>
          <w:lang w:eastAsia="es-MX"/>
        </w:rPr>
        <w:t>.</w:t>
      </w:r>
      <w:r w:rsidR="00B7491E">
        <w:rPr>
          <w:rFonts w:eastAsia="Times New Roman" w:cs="Noto Sans"/>
          <w:bCs/>
          <w:color w:val="000000"/>
          <w:lang w:eastAsia="es-MX"/>
        </w:rPr>
        <w:t>3</w:t>
      </w:r>
      <w:r w:rsidRPr="00B16799">
        <w:rPr>
          <w:rFonts w:eastAsia="Times New Roman" w:cs="Noto Sans"/>
          <w:bCs/>
          <w:color w:val="000000"/>
          <w:lang w:eastAsia="es-MX"/>
        </w:rPr>
        <w:t xml:space="preserve"> pesos,</w:t>
      </w:r>
      <w:r w:rsidRPr="00B16799">
        <w:rPr>
          <w:rFonts w:cs="Noto Sans"/>
        </w:rPr>
        <w:t xml:space="preserve"> los cuales de detallan en las notas de desglose </w:t>
      </w:r>
      <w:r w:rsidR="00A1251E">
        <w:rPr>
          <w:rFonts w:cs="Noto Sans"/>
        </w:rPr>
        <w:t>4</w:t>
      </w:r>
      <w:r w:rsidRPr="00B16799">
        <w:rPr>
          <w:rFonts w:cs="Noto Sans"/>
        </w:rPr>
        <w:t>. Pasivo.</w:t>
      </w:r>
    </w:p>
    <w:p w14:paraId="7939BAF9" w14:textId="77777777" w:rsidR="00D80C17" w:rsidRPr="00B16799" w:rsidRDefault="00D80C17" w:rsidP="0002360D">
      <w:pPr>
        <w:pStyle w:val="TEXTONORMAL"/>
        <w:rPr>
          <w:rFonts w:cs="Noto Sans"/>
        </w:rPr>
      </w:pPr>
    </w:p>
    <w:p w14:paraId="5A32C96F" w14:textId="2C9EE7F4" w:rsidR="0002360D" w:rsidRPr="00B16799" w:rsidRDefault="00B356AC" w:rsidP="00D06BE8">
      <w:pPr>
        <w:pStyle w:val="TEXTONORMAL"/>
        <w:numPr>
          <w:ilvl w:val="0"/>
          <w:numId w:val="92"/>
        </w:numPr>
        <w:ind w:left="357" w:hanging="357"/>
        <w:rPr>
          <w:rFonts w:cs="Noto Sans"/>
        </w:rPr>
      </w:pPr>
      <w:r>
        <w:rPr>
          <w:rFonts w:cs="Noto Sans"/>
        </w:rPr>
        <w:t xml:space="preserve">11. </w:t>
      </w:r>
      <w:r w:rsidR="0002360D" w:rsidRPr="00B16799">
        <w:rPr>
          <w:rFonts w:cs="Noto Sans"/>
        </w:rPr>
        <w:t>Calificaciones otorgadas</w:t>
      </w:r>
    </w:p>
    <w:p w14:paraId="69668FC6" w14:textId="77777777" w:rsidR="0002360D" w:rsidRDefault="0002360D" w:rsidP="0002360D">
      <w:pPr>
        <w:pStyle w:val="TEXTONORMAL"/>
        <w:rPr>
          <w:rFonts w:cs="Noto Sans"/>
        </w:rPr>
      </w:pPr>
      <w:r w:rsidRPr="00B16799">
        <w:rPr>
          <w:rFonts w:cs="Noto Sans"/>
        </w:rPr>
        <w:t xml:space="preserve">El IMSS no cuenta con transacciones que hayan sido sujetas a calificaciones crediticias. </w:t>
      </w:r>
    </w:p>
    <w:p w14:paraId="05CFEC48" w14:textId="77777777" w:rsidR="00D80C17" w:rsidRPr="00B16799" w:rsidRDefault="00D80C17" w:rsidP="0002360D">
      <w:pPr>
        <w:pStyle w:val="TEXTONORMAL"/>
        <w:rPr>
          <w:rFonts w:cs="Noto Sans"/>
        </w:rPr>
      </w:pPr>
    </w:p>
    <w:p w14:paraId="1EA680B7" w14:textId="7668FBAF" w:rsidR="0002360D" w:rsidRPr="00B16799" w:rsidRDefault="00B356AC" w:rsidP="00D06BE8">
      <w:pPr>
        <w:pStyle w:val="TEXTONORMAL"/>
        <w:numPr>
          <w:ilvl w:val="0"/>
          <w:numId w:val="92"/>
        </w:numPr>
        <w:ind w:left="357" w:hanging="357"/>
        <w:rPr>
          <w:rFonts w:cs="Noto Sans"/>
        </w:rPr>
      </w:pPr>
      <w:r>
        <w:rPr>
          <w:rFonts w:cs="Noto Sans"/>
        </w:rPr>
        <w:t xml:space="preserve">12. </w:t>
      </w:r>
      <w:r w:rsidR="0002360D" w:rsidRPr="00B16799">
        <w:rPr>
          <w:rFonts w:cs="Noto Sans"/>
        </w:rPr>
        <w:t>Proceso de Mejora</w:t>
      </w:r>
    </w:p>
    <w:p w14:paraId="74A4A187" w14:textId="77777777" w:rsidR="0002360D" w:rsidRPr="00B16799" w:rsidRDefault="0002360D" w:rsidP="0002360D">
      <w:pPr>
        <w:autoSpaceDE w:val="0"/>
        <w:autoSpaceDN w:val="0"/>
        <w:adjustRightInd w:val="0"/>
        <w:spacing w:line="276" w:lineRule="auto"/>
        <w:jc w:val="both"/>
        <w:rPr>
          <w:rFonts w:ascii="Noto Sans" w:hAnsi="Noto Sans" w:cs="Noto Sans"/>
          <w:sz w:val="18"/>
          <w:szCs w:val="18"/>
        </w:rPr>
      </w:pPr>
      <w:r w:rsidRPr="00B16799">
        <w:rPr>
          <w:rFonts w:ascii="Noto Sans" w:hAnsi="Noto Sans" w:cs="Noto Sans"/>
          <w:sz w:val="18"/>
          <w:szCs w:val="18"/>
        </w:rPr>
        <w:t xml:space="preserve">Las principales acciones que ha implementado el Instituto para favorecer su equilibrio financiero se señalan en esta sección. </w:t>
      </w:r>
    </w:p>
    <w:p w14:paraId="6AD5A8F5" w14:textId="77777777" w:rsidR="0002360D" w:rsidRPr="00BF6E11" w:rsidRDefault="0002360D" w:rsidP="0002360D">
      <w:pPr>
        <w:spacing w:line="240" w:lineRule="exact"/>
        <w:jc w:val="both"/>
        <w:rPr>
          <w:rFonts w:ascii="Noto Sans" w:hAnsi="Noto Sans" w:cs="Noto Sans"/>
          <w:sz w:val="18"/>
          <w:szCs w:val="18"/>
        </w:rPr>
      </w:pPr>
      <w:r w:rsidRPr="00BF6E11">
        <w:rPr>
          <w:rFonts w:ascii="Noto Sans" w:hAnsi="Noto Sans" w:cs="Noto Sans"/>
          <w:sz w:val="18"/>
          <w:szCs w:val="18"/>
        </w:rPr>
        <w:t>Durante la presente gestión se ha logrado una sustentabilidad financiera por 13 años para cubrir todas las obligaciones en los distintos ramos de aseguramiento, esto es posible gracias a un manejo responsable y transparente de los recursos, generación de ingresos, optimización de gastos y la inversión de las reservas financieras.</w:t>
      </w:r>
    </w:p>
    <w:p w14:paraId="21BFB505" w14:textId="77777777" w:rsidR="0002360D" w:rsidRPr="00BF6E11" w:rsidRDefault="0002360D" w:rsidP="0002360D">
      <w:pPr>
        <w:spacing w:line="240" w:lineRule="exact"/>
        <w:jc w:val="both"/>
        <w:rPr>
          <w:rFonts w:ascii="Noto Sans" w:hAnsi="Noto Sans" w:cs="Noto Sans"/>
          <w:sz w:val="18"/>
          <w:szCs w:val="18"/>
        </w:rPr>
      </w:pPr>
      <w:r w:rsidRPr="00BF6E11">
        <w:rPr>
          <w:rFonts w:ascii="Noto Sans" w:hAnsi="Noto Sans" w:cs="Noto Sans"/>
          <w:sz w:val="18"/>
          <w:szCs w:val="18"/>
        </w:rPr>
        <w:t>La gestión responsable y transparente de los recursos del IMSS que ha permitido que se tenga una sustentabilidad financiera por 13 años para cubrir todas las obligaciones en los distintos ramos de aseguramiento, esta sustentabilidad ha sido posible gracias a la generación de ingresos, optimización de gastos y la inversión de las reservas financieras, “En cuanto a ingresos, el aumento tiene que ver con el nivel de empleo y la solidez de la economía mexicana, también con el aumento del salario y actividades de fiscalización; un gasto eficiente, un manejo eficiente de los recursos y normativas presupuestarias adecuadas”.</w:t>
      </w:r>
    </w:p>
    <w:p w14:paraId="52903797" w14:textId="77777777" w:rsidR="0002360D" w:rsidRDefault="0002360D" w:rsidP="0002360D">
      <w:pPr>
        <w:spacing w:line="240" w:lineRule="exact"/>
        <w:jc w:val="both"/>
        <w:rPr>
          <w:rFonts w:ascii="Noto Sans" w:hAnsi="Noto Sans" w:cs="Noto Sans"/>
          <w:sz w:val="18"/>
          <w:szCs w:val="18"/>
        </w:rPr>
      </w:pPr>
      <w:r w:rsidRPr="00BF6E11">
        <w:rPr>
          <w:rFonts w:ascii="Noto Sans" w:hAnsi="Noto Sans" w:cs="Noto Sans"/>
          <w:sz w:val="18"/>
          <w:szCs w:val="18"/>
        </w:rPr>
        <w:t>Hoy el IMSS goza de una sustentabilidad financiera casi tres veces mayor de la que tenía, ya que se ha innovado mucho, fortaleciendo la gestión de riesgos, con la creación de la Unidad de Riesgos, también de una Comisión de Riesgos Financieros y Actuariales, que es el contrapeso de la Comisión de Inversiones Financieras. tomando decisiones colegiadas con los integrantes del H. Consejo Técnico, conformado por el sector obrero-patronal, para evaluar y mitigar riesgos financieros; además, se ha fortalecido la política de inversión de recursos con una mejora en el gobierno corporativo, y se estableció la participación de un experto independiente.</w:t>
      </w:r>
    </w:p>
    <w:p w14:paraId="15DFE035" w14:textId="77777777" w:rsidR="00D80C17" w:rsidRPr="00B16799" w:rsidRDefault="00D80C17" w:rsidP="0002360D">
      <w:pPr>
        <w:spacing w:line="240" w:lineRule="exact"/>
        <w:jc w:val="both"/>
        <w:rPr>
          <w:rFonts w:ascii="Noto Sans" w:hAnsi="Noto Sans" w:cs="Noto Sans"/>
          <w:sz w:val="18"/>
          <w:szCs w:val="18"/>
        </w:rPr>
      </w:pPr>
    </w:p>
    <w:p w14:paraId="69C0FC2A" w14:textId="290F8B2E" w:rsidR="0002360D" w:rsidRPr="003F075D" w:rsidRDefault="00B356AC" w:rsidP="00D06BE8">
      <w:pPr>
        <w:pStyle w:val="TEXTONORMAL"/>
        <w:numPr>
          <w:ilvl w:val="0"/>
          <w:numId w:val="93"/>
        </w:numPr>
        <w:ind w:left="357" w:hanging="357"/>
      </w:pPr>
      <w:r>
        <w:t>1</w:t>
      </w:r>
      <w:r w:rsidR="00D80C17">
        <w:t>3</w:t>
      </w:r>
      <w:r>
        <w:t xml:space="preserve">. </w:t>
      </w:r>
      <w:r w:rsidR="0002360D" w:rsidRPr="003F075D">
        <w:t xml:space="preserve">Eventos Posteriores al Cierre </w:t>
      </w:r>
    </w:p>
    <w:p w14:paraId="2B96D1FE" w14:textId="77777777" w:rsidR="0002360D" w:rsidRDefault="0002360D" w:rsidP="0002360D">
      <w:pPr>
        <w:pStyle w:val="TEXTONORMAL"/>
      </w:pPr>
      <w:r>
        <w:t>El Instituto no presenta eventos posteriores al cierre.</w:t>
      </w:r>
    </w:p>
    <w:p w14:paraId="16B730A7" w14:textId="77777777" w:rsidR="00D80C17" w:rsidRDefault="00D80C17" w:rsidP="0002360D">
      <w:pPr>
        <w:pStyle w:val="TEXTONORMAL"/>
      </w:pPr>
    </w:p>
    <w:p w14:paraId="5402C4FB" w14:textId="4B71DA9A" w:rsidR="0002360D" w:rsidRPr="003F075D" w:rsidRDefault="00B356AC" w:rsidP="00D06BE8">
      <w:pPr>
        <w:pStyle w:val="TEXTONORMAL"/>
        <w:numPr>
          <w:ilvl w:val="0"/>
          <w:numId w:val="93"/>
        </w:numPr>
        <w:ind w:left="357" w:hanging="357"/>
      </w:pPr>
      <w:r>
        <w:t>1</w:t>
      </w:r>
      <w:r w:rsidR="00D80C17">
        <w:t>4</w:t>
      </w:r>
      <w:r>
        <w:t xml:space="preserve">. </w:t>
      </w:r>
      <w:r w:rsidR="0002360D" w:rsidRPr="003F075D">
        <w:t>Partes Relacionadas</w:t>
      </w:r>
    </w:p>
    <w:p w14:paraId="094BA482" w14:textId="77777777" w:rsidR="0002360D" w:rsidRDefault="0002360D" w:rsidP="0002360D">
      <w:pPr>
        <w:pStyle w:val="TEXTONORMAL"/>
      </w:pPr>
      <w:r>
        <w:t xml:space="preserve">No existen partes relacionadas que pudieran ejercer influencia significativa sobre la toma de decisiones financieras y operativas. </w:t>
      </w:r>
    </w:p>
    <w:p w14:paraId="0AF6993B" w14:textId="77777777" w:rsidR="00D80C17" w:rsidRPr="004F1887" w:rsidRDefault="00D80C17" w:rsidP="0002360D">
      <w:pPr>
        <w:pStyle w:val="TEXTONORMAL"/>
      </w:pPr>
    </w:p>
    <w:p w14:paraId="703279C3" w14:textId="2299AA36" w:rsidR="00E70EB0" w:rsidRPr="0071179C" w:rsidRDefault="00F51A75" w:rsidP="00ED1D2E">
      <w:pPr>
        <w:pStyle w:val="TEXTONORMAL"/>
        <w:numPr>
          <w:ilvl w:val="0"/>
          <w:numId w:val="5"/>
        </w:numPr>
        <w:spacing w:before="240"/>
        <w:ind w:left="357" w:hanging="357"/>
        <w:jc w:val="left"/>
        <w:rPr>
          <w:rFonts w:cs="Noto Sans"/>
          <w:b/>
          <w:sz w:val="22"/>
        </w:rPr>
      </w:pPr>
      <w:r w:rsidRPr="0071179C">
        <w:rPr>
          <w:rFonts w:cs="Noto Sans"/>
          <w:b/>
          <w:sz w:val="22"/>
        </w:rPr>
        <w:lastRenderedPageBreak/>
        <w:t>N</w:t>
      </w:r>
      <w:r w:rsidR="0078631D" w:rsidRPr="0071179C">
        <w:rPr>
          <w:rFonts w:cs="Noto Sans"/>
          <w:b/>
          <w:sz w:val="22"/>
        </w:rPr>
        <w:t>OTAS DE DESGLOSE</w:t>
      </w:r>
    </w:p>
    <w:p w14:paraId="5BE9D2D3" w14:textId="77777777" w:rsidR="00BC2B2F" w:rsidRPr="00E70EB0" w:rsidRDefault="00BC2B2F" w:rsidP="00BC2B2F">
      <w:pPr>
        <w:pStyle w:val="TEXTONORMAL"/>
        <w:spacing w:before="240"/>
        <w:ind w:left="357"/>
        <w:jc w:val="left"/>
        <w:rPr>
          <w:rFonts w:cs="Noto Sans"/>
          <w:b/>
          <w:sz w:val="22"/>
        </w:rPr>
      </w:pPr>
    </w:p>
    <w:p w14:paraId="5C7E5406" w14:textId="174FD8C0" w:rsidR="006A5F0E" w:rsidRDefault="006A5F0E" w:rsidP="00B87C93">
      <w:pPr>
        <w:pStyle w:val="TEXTONORMAL"/>
        <w:numPr>
          <w:ilvl w:val="0"/>
          <w:numId w:val="6"/>
        </w:numPr>
        <w:spacing w:before="240"/>
        <w:ind w:left="357" w:hanging="357"/>
        <w:jc w:val="left"/>
        <w:rPr>
          <w:rFonts w:cs="Noto Sans"/>
          <w:b/>
          <w:sz w:val="22"/>
        </w:rPr>
      </w:pPr>
      <w:r>
        <w:rPr>
          <w:rFonts w:cs="Noto Sans"/>
          <w:b/>
          <w:sz w:val="22"/>
        </w:rPr>
        <w:t>NOTAS AL ESTADO DE ACTIVIDADES</w:t>
      </w:r>
    </w:p>
    <w:p w14:paraId="2A2594F6" w14:textId="77777777" w:rsidR="00857F08" w:rsidRPr="00B87C93" w:rsidRDefault="00857F08" w:rsidP="00857F08">
      <w:pPr>
        <w:pStyle w:val="TEXTONORMAL"/>
        <w:spacing w:before="240"/>
        <w:ind w:left="357"/>
        <w:jc w:val="left"/>
        <w:rPr>
          <w:rFonts w:cs="Noto Sans"/>
          <w:b/>
          <w:sz w:val="22"/>
        </w:rPr>
      </w:pPr>
    </w:p>
    <w:p w14:paraId="756A42BE" w14:textId="77777777" w:rsidR="006A5F0E" w:rsidRDefault="006A5F0E" w:rsidP="006A5F0E">
      <w:pPr>
        <w:pStyle w:val="TEXTONORMAL"/>
        <w:numPr>
          <w:ilvl w:val="0"/>
          <w:numId w:val="9"/>
        </w:numPr>
        <w:spacing w:before="240"/>
        <w:ind w:left="0" w:firstLine="0"/>
        <w:rPr>
          <w:b/>
          <w:sz w:val="22"/>
        </w:rPr>
      </w:pPr>
      <w:r w:rsidRPr="00894562">
        <w:rPr>
          <w:b/>
          <w:sz w:val="22"/>
        </w:rPr>
        <w:t xml:space="preserve">INGRESOS Y OTROS BENEFICIOS </w:t>
      </w:r>
    </w:p>
    <w:p w14:paraId="088F67B1" w14:textId="77777777" w:rsidR="006A5F0E" w:rsidRDefault="006A5F0E" w:rsidP="006A5F0E">
      <w:pPr>
        <w:spacing w:after="120" w:line="250" w:lineRule="exact"/>
        <w:ind w:left="357" w:hanging="357"/>
        <w:rPr>
          <w:rFonts w:ascii="Noto Sans" w:hAnsi="Noto Sans" w:cs="Noto Sans"/>
          <w:sz w:val="18"/>
          <w:szCs w:val="18"/>
        </w:rPr>
      </w:pPr>
    </w:p>
    <w:p w14:paraId="00899DBD" w14:textId="77777777" w:rsidR="006A5F0E" w:rsidRPr="007433D0" w:rsidRDefault="006A5F0E" w:rsidP="00D461EC">
      <w:pPr>
        <w:pStyle w:val="Prrafodelista"/>
        <w:numPr>
          <w:ilvl w:val="0"/>
          <w:numId w:val="22"/>
        </w:numPr>
        <w:spacing w:after="120" w:line="250" w:lineRule="exact"/>
        <w:ind w:left="357" w:hanging="357"/>
        <w:rPr>
          <w:b/>
        </w:rPr>
      </w:pPr>
      <w:r>
        <w:rPr>
          <w:rFonts w:ascii="Noto Sans" w:hAnsi="Noto Sans" w:cs="Noto Sans"/>
          <w:sz w:val="18"/>
          <w:szCs w:val="18"/>
        </w:rPr>
        <w:t>1.1</w:t>
      </w:r>
      <w:r w:rsidRPr="007433D0">
        <w:rPr>
          <w:rFonts w:ascii="Noto Sans" w:hAnsi="Noto Sans" w:cs="Noto Sans"/>
          <w:sz w:val="18"/>
          <w:szCs w:val="18"/>
        </w:rPr>
        <w:t xml:space="preserve"> Cuotas y Aportaciones de Seguridad Social</w:t>
      </w:r>
    </w:p>
    <w:p w14:paraId="3A75041F" w14:textId="17BAB4DD" w:rsidR="006A5F0E" w:rsidRDefault="0020655B" w:rsidP="006A5F0E">
      <w:pPr>
        <w:spacing w:after="120" w:line="250" w:lineRule="exact"/>
        <w:rPr>
          <w:rFonts w:ascii="Noto Sans" w:hAnsi="Noto Sans" w:cs="Noto Sans"/>
          <w:sz w:val="18"/>
          <w:szCs w:val="18"/>
        </w:rPr>
      </w:pPr>
      <w:r>
        <w:rPr>
          <w:rFonts w:ascii="Noto Sans" w:hAnsi="Noto Sans" w:cs="Noto Sans"/>
          <w:sz w:val="18"/>
          <w:szCs w:val="18"/>
        </w:rPr>
        <w:t>A</w:t>
      </w:r>
      <w:r w:rsidR="00FE0B69" w:rsidRPr="000F4D76">
        <w:rPr>
          <w:rFonts w:ascii="Noto Sans" w:hAnsi="Noto Sans" w:cs="Noto Sans"/>
          <w:sz w:val="18"/>
          <w:szCs w:val="18"/>
        </w:rPr>
        <w:t xml:space="preserve">l </w:t>
      </w:r>
      <w:r w:rsidR="0043174A" w:rsidRPr="002B3F78">
        <w:rPr>
          <w:rFonts w:cs="Noto Sans"/>
          <w:szCs w:val="18"/>
        </w:rPr>
        <w:t>3</w:t>
      </w:r>
      <w:r w:rsidR="0043174A">
        <w:rPr>
          <w:rFonts w:cs="Noto Sans"/>
          <w:szCs w:val="18"/>
        </w:rPr>
        <w:t>0</w:t>
      </w:r>
      <w:r w:rsidR="0043174A" w:rsidRPr="002B3F78">
        <w:rPr>
          <w:rFonts w:cs="Noto Sans"/>
          <w:szCs w:val="18"/>
        </w:rPr>
        <w:t xml:space="preserve"> de </w:t>
      </w:r>
      <w:r w:rsidR="0043174A">
        <w:rPr>
          <w:rFonts w:cs="Noto Sans"/>
          <w:szCs w:val="18"/>
        </w:rPr>
        <w:t>junio</w:t>
      </w:r>
      <w:r w:rsidR="0043174A" w:rsidRPr="002B3F78">
        <w:rPr>
          <w:rFonts w:cs="Noto Sans"/>
          <w:szCs w:val="18"/>
        </w:rPr>
        <w:t xml:space="preserve"> </w:t>
      </w:r>
      <w:r w:rsidR="00FE0B69" w:rsidRPr="000F4D76">
        <w:rPr>
          <w:rFonts w:ascii="Noto Sans" w:hAnsi="Noto Sans" w:cs="Noto Sans"/>
          <w:sz w:val="18"/>
          <w:szCs w:val="18"/>
        </w:rPr>
        <w:t>de 2025 y 2024</w:t>
      </w:r>
      <w:r w:rsidR="006A5F0E" w:rsidRPr="007433D0">
        <w:rPr>
          <w:rFonts w:ascii="Noto Sans" w:hAnsi="Noto Sans" w:cs="Noto Sans"/>
          <w:sz w:val="18"/>
          <w:szCs w:val="18"/>
        </w:rPr>
        <w:t>, las Cuotas y Aportaciones de Seguridad Social se integran de la siguiente manera:</w:t>
      </w:r>
    </w:p>
    <w:p w14:paraId="362BF666" w14:textId="77777777" w:rsidR="006A5F0E" w:rsidRDefault="006A5F0E"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4A965D4D"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F9883E4"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9089DB1"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08A8B4CA"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586303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7F3536B" w14:textId="45B07630" w:rsidR="006A5F0E" w:rsidRPr="008E629A" w:rsidRDefault="008C387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1CD3E945" w14:textId="2503AD79" w:rsidR="006A5F0E" w:rsidRPr="008E629A" w:rsidRDefault="008C387D"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4A5B2E" w:rsidRPr="005946C5" w14:paraId="1F877003" w14:textId="77777777" w:rsidTr="00ED10B2">
        <w:trPr>
          <w:trHeight w:val="267"/>
          <w:jc w:val="center"/>
        </w:trPr>
        <w:tc>
          <w:tcPr>
            <w:tcW w:w="5475" w:type="dxa"/>
            <w:tcBorders>
              <w:top w:val="triple" w:sz="12" w:space="0" w:color="A6802D"/>
              <w:left w:val="nil"/>
              <w:bottom w:val="nil"/>
              <w:right w:val="nil"/>
            </w:tcBorders>
            <w:shd w:val="clear" w:color="000000" w:fill="F2F2F2"/>
            <w:vAlign w:val="center"/>
          </w:tcPr>
          <w:p w14:paraId="4B2C701D" w14:textId="125FEDB6" w:rsidR="004A5B2E" w:rsidRPr="006A5F0E" w:rsidRDefault="004A5B2E" w:rsidP="004A5B2E">
            <w:pPr>
              <w:spacing w:after="0" w:line="240" w:lineRule="auto"/>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Cuotas Obrero-Patronales </w:t>
            </w:r>
            <w:r w:rsidRPr="00965D53">
              <w:rPr>
                <w:rFonts w:ascii="Noto Sans" w:hAnsi="Noto Sans" w:cs="Noto Sans"/>
                <w:b/>
                <w:bCs/>
                <w:color w:val="000000"/>
                <w:sz w:val="15"/>
                <w:szCs w:val="15"/>
              </w:rPr>
              <w:t>(1.1.a)</w:t>
            </w:r>
          </w:p>
        </w:tc>
        <w:tc>
          <w:tcPr>
            <w:tcW w:w="1960" w:type="dxa"/>
            <w:tcBorders>
              <w:top w:val="triple" w:sz="12" w:space="0" w:color="A6802D"/>
              <w:left w:val="nil"/>
              <w:bottom w:val="nil"/>
              <w:right w:val="nil"/>
            </w:tcBorders>
            <w:shd w:val="clear" w:color="000000" w:fill="F2F2F2"/>
            <w:vAlign w:val="center"/>
          </w:tcPr>
          <w:p w14:paraId="02D5F45C" w14:textId="0CE9BFF8" w:rsidR="004A5B2E" w:rsidRPr="006A5F0E" w:rsidRDefault="004A5B2E" w:rsidP="004A5B2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6"/>
                <w:szCs w:val="16"/>
              </w:rPr>
              <w:t xml:space="preserve">       299,585,656,467.9 </w:t>
            </w:r>
          </w:p>
        </w:tc>
        <w:tc>
          <w:tcPr>
            <w:tcW w:w="1961" w:type="dxa"/>
            <w:tcBorders>
              <w:top w:val="triple" w:sz="12" w:space="0" w:color="A6802D"/>
              <w:left w:val="nil"/>
              <w:bottom w:val="nil"/>
              <w:right w:val="nil"/>
            </w:tcBorders>
            <w:shd w:val="clear" w:color="000000" w:fill="F2F2F2"/>
            <w:vAlign w:val="center"/>
          </w:tcPr>
          <w:p w14:paraId="650C2F82" w14:textId="28444862" w:rsidR="004A5B2E" w:rsidRPr="006A5F0E" w:rsidRDefault="004A5B2E" w:rsidP="005757F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6"/>
                <w:szCs w:val="16"/>
              </w:rPr>
              <w:t xml:space="preserve">           </w:t>
            </w:r>
            <w:r w:rsidR="005757FD">
              <w:rPr>
                <w:rFonts w:ascii="Noto Sans" w:hAnsi="Noto Sans" w:cs="Noto Sans"/>
                <w:color w:val="000000"/>
                <w:sz w:val="16"/>
                <w:szCs w:val="16"/>
              </w:rPr>
              <w:t>283,056,676,097.9</w:t>
            </w:r>
            <w:r>
              <w:rPr>
                <w:rFonts w:ascii="Noto Sans" w:hAnsi="Noto Sans" w:cs="Noto Sans"/>
                <w:color w:val="000000"/>
                <w:sz w:val="16"/>
                <w:szCs w:val="16"/>
              </w:rPr>
              <w:t xml:space="preserve"> </w:t>
            </w:r>
          </w:p>
        </w:tc>
      </w:tr>
      <w:tr w:rsidR="004A5B2E" w:rsidRPr="00FC0913" w14:paraId="2E7C76F1" w14:textId="77777777" w:rsidTr="00ED10B2">
        <w:trPr>
          <w:trHeight w:val="283"/>
          <w:jc w:val="center"/>
        </w:trPr>
        <w:tc>
          <w:tcPr>
            <w:tcW w:w="5475" w:type="dxa"/>
            <w:tcBorders>
              <w:top w:val="nil"/>
              <w:left w:val="nil"/>
              <w:bottom w:val="nil"/>
              <w:right w:val="nil"/>
            </w:tcBorders>
            <w:shd w:val="clear" w:color="000000" w:fill="F2F2F2"/>
            <w:vAlign w:val="center"/>
          </w:tcPr>
          <w:p w14:paraId="29E0EF25" w14:textId="4214A590" w:rsidR="004A5B2E" w:rsidRPr="006A5F0E" w:rsidRDefault="004A5B2E" w:rsidP="004A5B2E">
            <w:pPr>
              <w:spacing w:after="0" w:line="240" w:lineRule="auto"/>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Cuotas del Gobierno Federal </w:t>
            </w:r>
            <w:r w:rsidRPr="00965D53">
              <w:rPr>
                <w:rFonts w:ascii="Noto Sans" w:hAnsi="Noto Sans" w:cs="Noto Sans"/>
                <w:b/>
                <w:bCs/>
                <w:color w:val="000000"/>
                <w:sz w:val="15"/>
                <w:szCs w:val="15"/>
              </w:rPr>
              <w:t>(1.1.b)</w:t>
            </w:r>
          </w:p>
        </w:tc>
        <w:tc>
          <w:tcPr>
            <w:tcW w:w="1960" w:type="dxa"/>
            <w:tcBorders>
              <w:top w:val="nil"/>
              <w:left w:val="nil"/>
              <w:bottom w:val="nil"/>
              <w:right w:val="nil"/>
            </w:tcBorders>
            <w:shd w:val="clear" w:color="000000" w:fill="F2F2F2"/>
            <w:vAlign w:val="center"/>
          </w:tcPr>
          <w:p w14:paraId="35431FEE" w14:textId="29DBB182" w:rsidR="004A5B2E" w:rsidRPr="006A5F0E" w:rsidRDefault="004A5B2E" w:rsidP="004A5B2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6"/>
                <w:szCs w:val="16"/>
              </w:rPr>
              <w:t xml:space="preserve">         74,199,467,064.5 </w:t>
            </w:r>
          </w:p>
        </w:tc>
        <w:tc>
          <w:tcPr>
            <w:tcW w:w="1961" w:type="dxa"/>
            <w:tcBorders>
              <w:top w:val="nil"/>
              <w:left w:val="nil"/>
              <w:bottom w:val="nil"/>
              <w:right w:val="nil"/>
            </w:tcBorders>
            <w:shd w:val="clear" w:color="000000" w:fill="F2F2F2"/>
            <w:vAlign w:val="center"/>
          </w:tcPr>
          <w:p w14:paraId="6B2CBDDB" w14:textId="58959AE2" w:rsidR="004A5B2E" w:rsidRPr="006A5F0E" w:rsidRDefault="004A5B2E" w:rsidP="004A5B2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6"/>
                <w:szCs w:val="16"/>
              </w:rPr>
              <w:t xml:space="preserve">             71,723,993,278.4 </w:t>
            </w:r>
          </w:p>
        </w:tc>
      </w:tr>
      <w:tr w:rsidR="004A5B2E" w:rsidRPr="00FC0913" w14:paraId="5933D4D2" w14:textId="77777777" w:rsidTr="00ED10B2">
        <w:trPr>
          <w:trHeight w:val="283"/>
          <w:jc w:val="center"/>
        </w:trPr>
        <w:tc>
          <w:tcPr>
            <w:tcW w:w="5475" w:type="dxa"/>
            <w:tcBorders>
              <w:top w:val="nil"/>
              <w:left w:val="nil"/>
              <w:bottom w:val="nil"/>
              <w:right w:val="nil"/>
            </w:tcBorders>
            <w:shd w:val="clear" w:color="000000" w:fill="F2F2F2"/>
            <w:vAlign w:val="center"/>
          </w:tcPr>
          <w:p w14:paraId="77EBC31B" w14:textId="3C9D4897" w:rsidR="004A5B2E" w:rsidRPr="006A5F0E" w:rsidRDefault="004A5B2E" w:rsidP="004A5B2E">
            <w:pPr>
              <w:spacing w:after="0" w:line="240" w:lineRule="auto"/>
              <w:jc w:val="both"/>
              <w:rPr>
                <w:rFonts w:ascii="Noto Sans" w:eastAsia="Times New Roman" w:hAnsi="Noto Sans" w:cs="Noto Sans"/>
                <w:b/>
                <w:bCs/>
                <w:color w:val="000000"/>
                <w:sz w:val="15"/>
                <w:szCs w:val="15"/>
                <w:lang w:eastAsia="es-MX"/>
              </w:rPr>
            </w:pPr>
            <w:r w:rsidRPr="00965D53">
              <w:rPr>
                <w:rFonts w:ascii="Noto Sans" w:hAnsi="Noto Sans" w:cs="Noto Sans"/>
                <w:b/>
                <w:bCs/>
                <w:color w:val="000000"/>
                <w:sz w:val="15"/>
                <w:szCs w:val="15"/>
              </w:rPr>
              <w:t>Cuotas para la Seguridad Social</w:t>
            </w:r>
          </w:p>
        </w:tc>
        <w:tc>
          <w:tcPr>
            <w:tcW w:w="1960" w:type="dxa"/>
            <w:tcBorders>
              <w:top w:val="nil"/>
              <w:left w:val="nil"/>
              <w:bottom w:val="nil"/>
              <w:right w:val="nil"/>
            </w:tcBorders>
            <w:shd w:val="clear" w:color="000000" w:fill="F2F2F2"/>
            <w:vAlign w:val="center"/>
          </w:tcPr>
          <w:p w14:paraId="2AA8CE8F" w14:textId="1CFC0C6C" w:rsidR="004A5B2E" w:rsidRPr="006A5F0E" w:rsidRDefault="004A5B2E" w:rsidP="004A5B2E">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373,785,123,532.4</w:t>
            </w:r>
          </w:p>
        </w:tc>
        <w:tc>
          <w:tcPr>
            <w:tcW w:w="1961" w:type="dxa"/>
            <w:tcBorders>
              <w:top w:val="nil"/>
              <w:left w:val="nil"/>
              <w:bottom w:val="nil"/>
              <w:right w:val="nil"/>
            </w:tcBorders>
            <w:shd w:val="clear" w:color="000000" w:fill="F2F2F2"/>
            <w:vAlign w:val="center"/>
          </w:tcPr>
          <w:p w14:paraId="2908FF38" w14:textId="0BB0FE3D" w:rsidR="004A5B2E" w:rsidRPr="006A5F0E" w:rsidRDefault="004A5B2E" w:rsidP="004A5B2E">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354,780,669,376.3</w:t>
            </w:r>
          </w:p>
        </w:tc>
      </w:tr>
      <w:tr w:rsidR="004A5B2E" w:rsidRPr="00FC0913" w14:paraId="32FE3F30" w14:textId="77777777" w:rsidTr="00ED10B2">
        <w:trPr>
          <w:trHeight w:val="283"/>
          <w:jc w:val="center"/>
        </w:trPr>
        <w:tc>
          <w:tcPr>
            <w:tcW w:w="5475" w:type="dxa"/>
            <w:tcBorders>
              <w:top w:val="nil"/>
              <w:left w:val="nil"/>
              <w:bottom w:val="nil"/>
              <w:right w:val="nil"/>
            </w:tcBorders>
            <w:shd w:val="clear" w:color="000000" w:fill="F2F2F2"/>
            <w:vAlign w:val="center"/>
          </w:tcPr>
          <w:p w14:paraId="34784F16" w14:textId="1DA1E0E0" w:rsidR="004A5B2E" w:rsidRPr="006A5F0E" w:rsidRDefault="004A5B2E" w:rsidP="004A5B2E">
            <w:pPr>
              <w:spacing w:after="0" w:line="240" w:lineRule="auto"/>
              <w:jc w:val="both"/>
              <w:rPr>
                <w:rFonts w:ascii="Noto Sans" w:eastAsia="Times New Roman" w:hAnsi="Noto Sans" w:cs="Noto Sans"/>
                <w:color w:val="000000"/>
                <w:sz w:val="15"/>
                <w:szCs w:val="15"/>
                <w:lang w:eastAsia="es-MX"/>
              </w:rPr>
            </w:pPr>
            <w:r w:rsidRPr="00965D53">
              <w:rPr>
                <w:rFonts w:ascii="Noto Sans" w:hAnsi="Noto Sans" w:cs="Noto Sans"/>
                <w:color w:val="000000"/>
                <w:sz w:val="15"/>
                <w:szCs w:val="15"/>
              </w:rPr>
              <w:t xml:space="preserve">Accesorios de Cuotas y Aportaciones de Seguridad Social </w:t>
            </w:r>
          </w:p>
        </w:tc>
        <w:tc>
          <w:tcPr>
            <w:tcW w:w="1960" w:type="dxa"/>
            <w:tcBorders>
              <w:top w:val="nil"/>
              <w:left w:val="nil"/>
              <w:bottom w:val="nil"/>
              <w:right w:val="nil"/>
            </w:tcBorders>
            <w:shd w:val="clear" w:color="000000" w:fill="F2F2F2"/>
            <w:vAlign w:val="center"/>
          </w:tcPr>
          <w:p w14:paraId="067ECDD2" w14:textId="0A3416A2" w:rsidR="004A5B2E" w:rsidRPr="006A5F0E" w:rsidRDefault="004A5B2E" w:rsidP="004A5B2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6"/>
                <w:szCs w:val="16"/>
              </w:rPr>
              <w:t xml:space="preserve">           5,537,573,399.4 </w:t>
            </w:r>
          </w:p>
        </w:tc>
        <w:tc>
          <w:tcPr>
            <w:tcW w:w="1961" w:type="dxa"/>
            <w:tcBorders>
              <w:top w:val="nil"/>
              <w:left w:val="nil"/>
              <w:bottom w:val="nil"/>
              <w:right w:val="nil"/>
            </w:tcBorders>
            <w:shd w:val="clear" w:color="000000" w:fill="F2F2F2"/>
            <w:vAlign w:val="center"/>
          </w:tcPr>
          <w:p w14:paraId="49AAA810" w14:textId="6A469BE2" w:rsidR="004A5B2E" w:rsidRPr="006A5F0E" w:rsidRDefault="004A5B2E" w:rsidP="004A5B2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6"/>
                <w:szCs w:val="16"/>
              </w:rPr>
              <w:t xml:space="preserve">               7,221,716,667.5 </w:t>
            </w:r>
          </w:p>
        </w:tc>
      </w:tr>
      <w:tr w:rsidR="004A5B2E" w:rsidRPr="005946C5" w14:paraId="1421EE58"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5ECAD1F4" w14:textId="6789B36C" w:rsidR="004A5B2E" w:rsidRPr="006A5F0E" w:rsidRDefault="004A5B2E" w:rsidP="004A5B2E">
            <w:pPr>
              <w:spacing w:after="0" w:line="240" w:lineRule="auto"/>
              <w:jc w:val="both"/>
              <w:rPr>
                <w:rFonts w:ascii="Noto Sans" w:eastAsia="Times New Roman" w:hAnsi="Noto Sans" w:cs="Noto Sans"/>
                <w:b/>
                <w:bCs/>
                <w:color w:val="000000"/>
                <w:sz w:val="15"/>
                <w:szCs w:val="15"/>
                <w:lang w:eastAsia="es-MX"/>
              </w:rPr>
            </w:pPr>
            <w:proofErr w:type="gramStart"/>
            <w:r w:rsidRPr="00965D53">
              <w:rPr>
                <w:rFonts w:ascii="Noto Sans" w:hAnsi="Noto Sans" w:cs="Noto Sans"/>
                <w:b/>
                <w:bCs/>
                <w:color w:val="000000"/>
                <w:sz w:val="15"/>
                <w:szCs w:val="15"/>
              </w:rPr>
              <w:t>Total</w:t>
            </w:r>
            <w:proofErr w:type="gramEnd"/>
            <w:r w:rsidRPr="00965D53">
              <w:rPr>
                <w:rFonts w:ascii="Noto Sans" w:hAnsi="Noto Sans" w:cs="Noto Sans"/>
                <w:b/>
                <w:bCs/>
                <w:color w:val="000000"/>
                <w:sz w:val="15"/>
                <w:szCs w:val="15"/>
              </w:rPr>
              <w:t xml:space="preserve"> Cuotas y Aportaciones de Seguridad Social</w:t>
            </w:r>
          </w:p>
        </w:tc>
        <w:tc>
          <w:tcPr>
            <w:tcW w:w="1960" w:type="dxa"/>
            <w:tcBorders>
              <w:top w:val="nil"/>
              <w:left w:val="nil"/>
              <w:bottom w:val="single" w:sz="12" w:space="0" w:color="A6802D"/>
              <w:right w:val="nil"/>
            </w:tcBorders>
            <w:shd w:val="clear" w:color="000000" w:fill="F2F2F2"/>
            <w:vAlign w:val="center"/>
          </w:tcPr>
          <w:p w14:paraId="25E55C5A" w14:textId="19D94D93" w:rsidR="004A5B2E" w:rsidRPr="006A5F0E" w:rsidRDefault="004A5B2E" w:rsidP="004A5B2E">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379,322,696,931.8</w:t>
            </w:r>
          </w:p>
        </w:tc>
        <w:tc>
          <w:tcPr>
            <w:tcW w:w="1961" w:type="dxa"/>
            <w:tcBorders>
              <w:top w:val="nil"/>
              <w:left w:val="nil"/>
              <w:bottom w:val="single" w:sz="12" w:space="0" w:color="A6802D"/>
              <w:right w:val="nil"/>
            </w:tcBorders>
            <w:shd w:val="clear" w:color="000000" w:fill="F2F2F2"/>
            <w:vAlign w:val="center"/>
          </w:tcPr>
          <w:p w14:paraId="6B14B2F2" w14:textId="4E6AE78B" w:rsidR="004A5B2E" w:rsidRPr="006A5F0E" w:rsidRDefault="004A5B2E" w:rsidP="004A5B2E">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362,002,386,043.8</w:t>
            </w:r>
          </w:p>
        </w:tc>
      </w:tr>
      <w:tr w:rsidR="006A5F0E" w:rsidRPr="00274555" w14:paraId="7416AD71" w14:textId="77777777" w:rsidTr="00ED10B2">
        <w:trPr>
          <w:trHeight w:val="226"/>
          <w:jc w:val="center"/>
        </w:trPr>
        <w:tc>
          <w:tcPr>
            <w:tcW w:w="5475" w:type="dxa"/>
            <w:tcBorders>
              <w:top w:val="single" w:sz="12" w:space="0" w:color="A6802D"/>
              <w:left w:val="nil"/>
              <w:right w:val="nil"/>
            </w:tcBorders>
            <w:vAlign w:val="center"/>
          </w:tcPr>
          <w:p w14:paraId="74C16654"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3A7FA5D8"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4E0A16BA"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2508BA05" w14:textId="77777777" w:rsidR="006A5F0E" w:rsidRDefault="006A5F0E" w:rsidP="006A5F0E">
      <w:pPr>
        <w:spacing w:after="120" w:line="250" w:lineRule="exact"/>
        <w:rPr>
          <w:rFonts w:ascii="Noto Sans" w:hAnsi="Noto Sans" w:cs="Noto Sans"/>
          <w:sz w:val="18"/>
          <w:szCs w:val="18"/>
        </w:rPr>
      </w:pPr>
    </w:p>
    <w:p w14:paraId="5AD50FEE" w14:textId="77777777" w:rsidR="006A5F0E" w:rsidRDefault="006A5F0E" w:rsidP="005A74F5">
      <w:pPr>
        <w:pStyle w:val="Prrafodelista"/>
        <w:numPr>
          <w:ilvl w:val="0"/>
          <w:numId w:val="20"/>
        </w:numPr>
        <w:spacing w:after="120" w:line="250" w:lineRule="exact"/>
        <w:jc w:val="both"/>
        <w:rPr>
          <w:rFonts w:ascii="Noto Sans" w:hAnsi="Noto Sans" w:cs="Noto Sans"/>
          <w:sz w:val="18"/>
          <w:szCs w:val="18"/>
        </w:rPr>
      </w:pPr>
      <w:r>
        <w:rPr>
          <w:rFonts w:ascii="Noto Sans" w:hAnsi="Noto Sans" w:cs="Noto Sans"/>
          <w:sz w:val="18"/>
          <w:szCs w:val="18"/>
        </w:rPr>
        <w:t>1</w:t>
      </w:r>
      <w:r w:rsidRPr="00305AFE">
        <w:rPr>
          <w:rFonts w:ascii="Noto Sans" w:hAnsi="Noto Sans" w:cs="Noto Sans"/>
          <w:sz w:val="18"/>
          <w:szCs w:val="18"/>
        </w:rPr>
        <w:t>.1.a) Las Cuotas Obrero-Patronales se registran al cierre de cada mes, con base en los días cotizados por los trabajadores y los factores establecidos en la LSS, para cada ramo de seguro.</w:t>
      </w:r>
    </w:p>
    <w:p w14:paraId="3AD10D8E" w14:textId="77777777" w:rsidR="006A5F0E" w:rsidRPr="00305AFE" w:rsidRDefault="006A5F0E" w:rsidP="009872E0">
      <w:pPr>
        <w:spacing w:after="120" w:line="250" w:lineRule="exact"/>
        <w:rPr>
          <w:rFonts w:ascii="Noto Sans" w:hAnsi="Noto Sans" w:cs="Noto Sans"/>
          <w:sz w:val="18"/>
          <w:szCs w:val="18"/>
        </w:rPr>
      </w:pPr>
    </w:p>
    <w:p w14:paraId="0101D03D" w14:textId="3EDD77E7" w:rsidR="006A5F0E" w:rsidRDefault="006A5F0E" w:rsidP="005A74F5">
      <w:pPr>
        <w:pStyle w:val="Prrafodelista"/>
        <w:numPr>
          <w:ilvl w:val="0"/>
          <w:numId w:val="20"/>
        </w:numPr>
        <w:spacing w:after="120" w:line="250" w:lineRule="exact"/>
        <w:jc w:val="both"/>
        <w:rPr>
          <w:rFonts w:ascii="Noto Sans" w:hAnsi="Noto Sans" w:cs="Noto Sans"/>
          <w:sz w:val="18"/>
          <w:szCs w:val="18"/>
        </w:rPr>
      </w:pPr>
      <w:r>
        <w:rPr>
          <w:rFonts w:ascii="Noto Sans" w:hAnsi="Noto Sans" w:cs="Noto Sans"/>
          <w:sz w:val="18"/>
          <w:szCs w:val="18"/>
        </w:rPr>
        <w:t>1</w:t>
      </w:r>
      <w:r w:rsidRPr="00305AFE">
        <w:rPr>
          <w:rFonts w:ascii="Noto Sans" w:hAnsi="Noto Sans" w:cs="Noto Sans"/>
          <w:sz w:val="18"/>
          <w:szCs w:val="18"/>
        </w:rPr>
        <w:t xml:space="preserve">.1.b) Las cuotas, contribuciones y aportaciones provenientes del Gobierno Federal se determinan al inicio de cada año con base en el Presupuesto de Egresos de la Federación (PEF), así mismo, de acuerdo con los factores establecidos en la LSS, mensualmente se registran los ingresos devengados, y al cierre de cada ejercicio se determina la diferencia entre las aportaciones y los ingresos devengados. </w:t>
      </w:r>
      <w:r w:rsidR="00C4033E">
        <w:rPr>
          <w:rFonts w:ascii="Noto Sans" w:hAnsi="Noto Sans" w:cs="Noto Sans"/>
          <w:sz w:val="18"/>
          <w:szCs w:val="18"/>
        </w:rPr>
        <w:t>A</w:t>
      </w:r>
      <w:r w:rsidR="00BC1EC1">
        <w:rPr>
          <w:rFonts w:ascii="Noto Sans" w:hAnsi="Noto Sans" w:cs="Noto Sans"/>
          <w:sz w:val="18"/>
          <w:szCs w:val="18"/>
        </w:rPr>
        <w:t xml:space="preserve">l </w:t>
      </w:r>
      <w:r w:rsidR="00BC1EC1" w:rsidRPr="000F4D76">
        <w:rPr>
          <w:rFonts w:ascii="Noto Sans" w:hAnsi="Noto Sans" w:cs="Noto Sans"/>
          <w:sz w:val="18"/>
          <w:szCs w:val="18"/>
        </w:rPr>
        <w:t>3</w:t>
      </w:r>
      <w:r w:rsidR="0071179C">
        <w:rPr>
          <w:rFonts w:ascii="Noto Sans" w:hAnsi="Noto Sans" w:cs="Noto Sans"/>
          <w:sz w:val="18"/>
          <w:szCs w:val="18"/>
        </w:rPr>
        <w:t>0</w:t>
      </w:r>
      <w:r w:rsidR="00BC1EC1" w:rsidRPr="000F4D76">
        <w:rPr>
          <w:rFonts w:ascii="Noto Sans" w:hAnsi="Noto Sans" w:cs="Noto Sans"/>
          <w:sz w:val="18"/>
          <w:szCs w:val="18"/>
        </w:rPr>
        <w:t xml:space="preserve"> de </w:t>
      </w:r>
      <w:r w:rsidR="0071179C">
        <w:rPr>
          <w:rFonts w:ascii="Noto Sans" w:hAnsi="Noto Sans" w:cs="Noto Sans"/>
          <w:sz w:val="18"/>
          <w:szCs w:val="18"/>
        </w:rPr>
        <w:t xml:space="preserve">junio </w:t>
      </w:r>
      <w:r w:rsidR="00BC1EC1" w:rsidRPr="000F4D76">
        <w:rPr>
          <w:rFonts w:ascii="Noto Sans" w:hAnsi="Noto Sans" w:cs="Noto Sans"/>
          <w:sz w:val="18"/>
          <w:szCs w:val="18"/>
        </w:rPr>
        <w:t xml:space="preserve">de 2025 </w:t>
      </w:r>
      <w:r w:rsidR="001A7079">
        <w:rPr>
          <w:rFonts w:ascii="Noto Sans" w:hAnsi="Noto Sans" w:cs="Noto Sans"/>
          <w:sz w:val="18"/>
          <w:szCs w:val="18"/>
        </w:rPr>
        <w:t xml:space="preserve">y </w:t>
      </w:r>
      <w:r w:rsidR="00BC1EC1" w:rsidRPr="000F4D76">
        <w:rPr>
          <w:rFonts w:ascii="Noto Sans" w:hAnsi="Noto Sans" w:cs="Noto Sans"/>
          <w:sz w:val="18"/>
          <w:szCs w:val="18"/>
        </w:rPr>
        <w:t>2024</w:t>
      </w:r>
      <w:r w:rsidR="00EE557D">
        <w:rPr>
          <w:rFonts w:ascii="Noto Sans" w:hAnsi="Noto Sans" w:cs="Noto Sans"/>
          <w:sz w:val="18"/>
          <w:szCs w:val="18"/>
        </w:rPr>
        <w:t xml:space="preserve">, </w:t>
      </w:r>
      <w:r w:rsidRPr="00305AFE">
        <w:rPr>
          <w:rFonts w:ascii="Noto Sans" w:hAnsi="Noto Sans" w:cs="Noto Sans"/>
          <w:sz w:val="18"/>
          <w:szCs w:val="18"/>
        </w:rPr>
        <w:t>el Gobierno Federal aportó</w:t>
      </w:r>
      <w:r w:rsidR="0071179C">
        <w:rPr>
          <w:rFonts w:ascii="Noto Sans" w:hAnsi="Noto Sans" w:cs="Noto Sans"/>
          <w:sz w:val="18"/>
          <w:szCs w:val="18"/>
        </w:rPr>
        <w:t xml:space="preserve"> 74</w:t>
      </w:r>
      <w:r w:rsidR="009345FC" w:rsidRPr="00B32C1E">
        <w:rPr>
          <w:rFonts w:ascii="Noto Sans" w:hAnsi="Noto Sans" w:cs="Noto Sans"/>
          <w:sz w:val="18"/>
          <w:szCs w:val="18"/>
        </w:rPr>
        <w:t>,</w:t>
      </w:r>
      <w:r w:rsidR="0071179C">
        <w:rPr>
          <w:rFonts w:ascii="Noto Sans" w:hAnsi="Noto Sans" w:cs="Noto Sans"/>
          <w:sz w:val="18"/>
          <w:szCs w:val="18"/>
        </w:rPr>
        <w:t>199</w:t>
      </w:r>
      <w:r w:rsidR="009345FC" w:rsidRPr="00B32C1E">
        <w:rPr>
          <w:rFonts w:ascii="Noto Sans" w:hAnsi="Noto Sans" w:cs="Noto Sans"/>
          <w:sz w:val="18"/>
          <w:szCs w:val="18"/>
        </w:rPr>
        <w:t>,</w:t>
      </w:r>
      <w:r w:rsidR="0071179C">
        <w:rPr>
          <w:rFonts w:ascii="Noto Sans" w:hAnsi="Noto Sans" w:cs="Noto Sans"/>
          <w:sz w:val="18"/>
          <w:szCs w:val="18"/>
        </w:rPr>
        <w:t>467</w:t>
      </w:r>
      <w:r w:rsidR="009345FC" w:rsidRPr="00B32C1E">
        <w:rPr>
          <w:rFonts w:ascii="Noto Sans" w:hAnsi="Noto Sans" w:cs="Noto Sans"/>
          <w:sz w:val="18"/>
          <w:szCs w:val="18"/>
        </w:rPr>
        <w:t>,</w:t>
      </w:r>
      <w:r w:rsidR="0071179C">
        <w:rPr>
          <w:rFonts w:ascii="Noto Sans" w:hAnsi="Noto Sans" w:cs="Noto Sans"/>
          <w:sz w:val="18"/>
          <w:szCs w:val="18"/>
        </w:rPr>
        <w:t>064</w:t>
      </w:r>
      <w:r w:rsidR="009345FC" w:rsidRPr="00B32C1E">
        <w:rPr>
          <w:rFonts w:ascii="Noto Sans" w:hAnsi="Noto Sans" w:cs="Noto Sans"/>
          <w:sz w:val="18"/>
          <w:szCs w:val="18"/>
        </w:rPr>
        <w:t>.</w:t>
      </w:r>
      <w:r w:rsidR="0071179C">
        <w:rPr>
          <w:rFonts w:ascii="Noto Sans" w:hAnsi="Noto Sans" w:cs="Noto Sans"/>
          <w:sz w:val="18"/>
          <w:szCs w:val="18"/>
        </w:rPr>
        <w:t>5</w:t>
      </w:r>
      <w:r w:rsidR="009345FC" w:rsidRPr="00B32C1E">
        <w:rPr>
          <w:rFonts w:ascii="Noto Sans" w:hAnsi="Noto Sans" w:cs="Noto Sans"/>
          <w:sz w:val="18"/>
          <w:szCs w:val="18"/>
        </w:rPr>
        <w:t xml:space="preserve"> </w:t>
      </w:r>
      <w:r w:rsidRPr="00B32C1E">
        <w:rPr>
          <w:rFonts w:ascii="Noto Sans" w:hAnsi="Noto Sans" w:cs="Noto Sans"/>
          <w:sz w:val="18"/>
          <w:szCs w:val="18"/>
        </w:rPr>
        <w:t xml:space="preserve">pesos y </w:t>
      </w:r>
      <w:r w:rsidR="0071179C">
        <w:rPr>
          <w:rFonts w:ascii="Noto Sans" w:hAnsi="Noto Sans" w:cs="Noto Sans"/>
          <w:sz w:val="18"/>
          <w:szCs w:val="18"/>
        </w:rPr>
        <w:t>71</w:t>
      </w:r>
      <w:r w:rsidR="00741293" w:rsidRPr="00B32C1E">
        <w:rPr>
          <w:rFonts w:ascii="Noto Sans" w:hAnsi="Noto Sans" w:cs="Noto Sans"/>
          <w:sz w:val="18"/>
          <w:szCs w:val="18"/>
        </w:rPr>
        <w:t>,</w:t>
      </w:r>
      <w:r w:rsidR="0071179C">
        <w:rPr>
          <w:rFonts w:ascii="Noto Sans" w:hAnsi="Noto Sans" w:cs="Noto Sans"/>
          <w:sz w:val="18"/>
          <w:szCs w:val="18"/>
        </w:rPr>
        <w:t>723</w:t>
      </w:r>
      <w:r w:rsidR="00741293" w:rsidRPr="00B32C1E">
        <w:rPr>
          <w:rFonts w:ascii="Noto Sans" w:hAnsi="Noto Sans" w:cs="Noto Sans"/>
          <w:sz w:val="18"/>
          <w:szCs w:val="18"/>
        </w:rPr>
        <w:t>,9</w:t>
      </w:r>
      <w:r w:rsidR="0071179C">
        <w:rPr>
          <w:rFonts w:ascii="Noto Sans" w:hAnsi="Noto Sans" w:cs="Noto Sans"/>
          <w:sz w:val="18"/>
          <w:szCs w:val="18"/>
        </w:rPr>
        <w:t>93</w:t>
      </w:r>
      <w:r w:rsidR="00741293" w:rsidRPr="00B32C1E">
        <w:rPr>
          <w:rFonts w:ascii="Noto Sans" w:hAnsi="Noto Sans" w:cs="Noto Sans"/>
          <w:sz w:val="18"/>
          <w:szCs w:val="18"/>
        </w:rPr>
        <w:t>.</w:t>
      </w:r>
      <w:r w:rsidR="0071179C">
        <w:rPr>
          <w:rFonts w:ascii="Noto Sans" w:hAnsi="Noto Sans" w:cs="Noto Sans"/>
          <w:sz w:val="18"/>
          <w:szCs w:val="18"/>
        </w:rPr>
        <w:t>278.4</w:t>
      </w:r>
      <w:r w:rsidRPr="00B32C1E">
        <w:rPr>
          <w:rFonts w:ascii="Noto Sans" w:hAnsi="Noto Sans" w:cs="Noto Sans"/>
          <w:sz w:val="18"/>
          <w:szCs w:val="18"/>
        </w:rPr>
        <w:t xml:space="preserve"> pesos</w:t>
      </w:r>
      <w:r w:rsidRPr="00305AFE">
        <w:rPr>
          <w:rFonts w:ascii="Noto Sans" w:hAnsi="Noto Sans" w:cs="Noto Sans"/>
          <w:sz w:val="18"/>
          <w:szCs w:val="18"/>
        </w:rPr>
        <w:t>, respectivamente, la diferencia contra las emisiones queda a cargo del Gobierno Federal.</w:t>
      </w:r>
    </w:p>
    <w:p w14:paraId="3D9E6ADC" w14:textId="77777777" w:rsidR="006A5F0E" w:rsidRDefault="006A5F0E" w:rsidP="006A5F0E">
      <w:pPr>
        <w:rPr>
          <w:rFonts w:ascii="Noto Sans" w:hAnsi="Noto Sans" w:cs="Noto Sans"/>
          <w:sz w:val="18"/>
          <w:szCs w:val="18"/>
        </w:rPr>
      </w:pPr>
    </w:p>
    <w:p w14:paraId="3128179E" w14:textId="77777777" w:rsidR="006A5F0E" w:rsidRPr="007433D0" w:rsidRDefault="006A5F0E" w:rsidP="00D461EC">
      <w:pPr>
        <w:pStyle w:val="Prrafodelista"/>
        <w:numPr>
          <w:ilvl w:val="0"/>
          <w:numId w:val="23"/>
        </w:numPr>
        <w:spacing w:after="120" w:line="250" w:lineRule="exact"/>
        <w:ind w:left="357" w:hanging="357"/>
        <w:rPr>
          <w:b/>
        </w:rPr>
      </w:pPr>
      <w:r>
        <w:rPr>
          <w:rFonts w:ascii="Noto Sans" w:hAnsi="Noto Sans" w:cs="Noto Sans"/>
          <w:sz w:val="18"/>
          <w:szCs w:val="18"/>
        </w:rPr>
        <w:lastRenderedPageBreak/>
        <w:t>1.2</w:t>
      </w:r>
      <w:r w:rsidRPr="007433D0">
        <w:rPr>
          <w:rFonts w:ascii="Noto Sans" w:hAnsi="Noto Sans" w:cs="Noto Sans"/>
          <w:sz w:val="18"/>
          <w:szCs w:val="18"/>
        </w:rPr>
        <w:t xml:space="preserve"> </w:t>
      </w:r>
      <w:r w:rsidRPr="00305AFE">
        <w:rPr>
          <w:rFonts w:ascii="Noto Sans" w:hAnsi="Noto Sans" w:cs="Noto Sans"/>
          <w:sz w:val="18"/>
          <w:szCs w:val="18"/>
        </w:rPr>
        <w:t>Ingresos por Venta de Bienes y Prestación de Servicios</w:t>
      </w:r>
    </w:p>
    <w:p w14:paraId="6A1EDEB7" w14:textId="45A57A30" w:rsidR="006A5F0E" w:rsidRDefault="006A5F0E" w:rsidP="006A5F0E">
      <w:pPr>
        <w:pStyle w:val="TEXTONORMAL"/>
      </w:pPr>
      <w:r>
        <w:t xml:space="preserve">Los Ingresos por Venta de Bienes y Prestación de Servicios </w:t>
      </w:r>
      <w:r w:rsidR="00FE0B69">
        <w:rPr>
          <w:rFonts w:cs="Noto Sans"/>
          <w:szCs w:val="18"/>
        </w:rPr>
        <w:t>a</w:t>
      </w:r>
      <w:r w:rsidR="00FE0B69" w:rsidRPr="000F4D76">
        <w:rPr>
          <w:rFonts w:cs="Noto Sans"/>
          <w:szCs w:val="18"/>
        </w:rPr>
        <w:t xml:space="preserve">l </w:t>
      </w:r>
      <w:r w:rsidR="00754805" w:rsidRPr="002B3F78">
        <w:rPr>
          <w:rFonts w:cs="Noto Sans"/>
          <w:szCs w:val="18"/>
        </w:rPr>
        <w:t>3</w:t>
      </w:r>
      <w:r w:rsidR="00754805">
        <w:rPr>
          <w:rFonts w:cs="Noto Sans"/>
          <w:szCs w:val="18"/>
        </w:rPr>
        <w:t>0</w:t>
      </w:r>
      <w:r w:rsidR="00754805" w:rsidRPr="002B3F78">
        <w:rPr>
          <w:rFonts w:cs="Noto Sans"/>
          <w:szCs w:val="18"/>
        </w:rPr>
        <w:t xml:space="preserve"> de </w:t>
      </w:r>
      <w:r w:rsidR="00754805">
        <w:rPr>
          <w:rFonts w:cs="Noto Sans"/>
          <w:szCs w:val="18"/>
        </w:rPr>
        <w:t>junio</w:t>
      </w:r>
      <w:r w:rsidR="00754805" w:rsidRPr="002B3F78">
        <w:rPr>
          <w:rFonts w:cs="Noto Sans"/>
          <w:szCs w:val="18"/>
        </w:rPr>
        <w:t xml:space="preserve"> </w:t>
      </w:r>
      <w:r w:rsidR="00FE0B69" w:rsidRPr="000F4D76">
        <w:rPr>
          <w:rFonts w:cs="Noto Sans"/>
          <w:szCs w:val="18"/>
        </w:rPr>
        <w:t>de 2025 y 2024</w:t>
      </w:r>
      <w:r>
        <w:t>, se integran de la siguiente manera:</w:t>
      </w:r>
    </w:p>
    <w:p w14:paraId="3D53016A" w14:textId="77777777" w:rsidR="006A5F0E" w:rsidRDefault="006A5F0E"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088F4F3B"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46A0318"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2058369"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4AF7A3CE"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CDF361D"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A2BF2C5" w14:textId="236EFA0D" w:rsidR="006A5F0E" w:rsidRPr="008E629A" w:rsidRDefault="00171850"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30D2957" w14:textId="7BAC6A22" w:rsidR="006A5F0E" w:rsidRPr="008E629A" w:rsidRDefault="00171850"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DD3BCC" w:rsidRPr="005946C5" w14:paraId="54496E54" w14:textId="77777777" w:rsidTr="00ED10B2">
        <w:trPr>
          <w:trHeight w:val="267"/>
          <w:jc w:val="center"/>
        </w:trPr>
        <w:tc>
          <w:tcPr>
            <w:tcW w:w="5475" w:type="dxa"/>
            <w:tcBorders>
              <w:top w:val="triple" w:sz="12" w:space="0" w:color="A6802D"/>
              <w:left w:val="nil"/>
              <w:bottom w:val="nil"/>
              <w:right w:val="nil"/>
            </w:tcBorders>
            <w:shd w:val="clear" w:color="000000" w:fill="F2F2F2"/>
            <w:vAlign w:val="center"/>
          </w:tcPr>
          <w:p w14:paraId="1953EE54" w14:textId="57F93F76" w:rsidR="00DD3BCC" w:rsidRPr="006A5F0E" w:rsidRDefault="00DD3BCC" w:rsidP="00DD3BC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Otros Ingresos por Venta de Bienes y Prestación de Servicios </w:t>
            </w:r>
          </w:p>
        </w:tc>
        <w:tc>
          <w:tcPr>
            <w:tcW w:w="1960" w:type="dxa"/>
            <w:tcBorders>
              <w:top w:val="triple" w:sz="12" w:space="0" w:color="A6802D"/>
              <w:left w:val="nil"/>
              <w:bottom w:val="nil"/>
              <w:right w:val="nil"/>
            </w:tcBorders>
            <w:shd w:val="clear" w:color="000000" w:fill="F2F2F2"/>
            <w:vAlign w:val="center"/>
          </w:tcPr>
          <w:p w14:paraId="43EAD3D9" w14:textId="1D76BF25"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3,316,111,853.7</w:t>
            </w:r>
          </w:p>
        </w:tc>
        <w:tc>
          <w:tcPr>
            <w:tcW w:w="1961" w:type="dxa"/>
            <w:tcBorders>
              <w:top w:val="triple" w:sz="12" w:space="0" w:color="A6802D"/>
              <w:left w:val="nil"/>
              <w:bottom w:val="nil"/>
              <w:right w:val="nil"/>
            </w:tcBorders>
            <w:shd w:val="clear" w:color="000000" w:fill="F2F2F2"/>
            <w:vAlign w:val="center"/>
          </w:tcPr>
          <w:p w14:paraId="22CE02AD" w14:textId="7523BBF4"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3,252,068,524.9</w:t>
            </w:r>
          </w:p>
        </w:tc>
      </w:tr>
      <w:tr w:rsidR="00DD3BCC" w:rsidRPr="00FC0913" w14:paraId="192F10FC" w14:textId="77777777" w:rsidTr="00ED10B2">
        <w:trPr>
          <w:trHeight w:val="283"/>
          <w:jc w:val="center"/>
        </w:trPr>
        <w:tc>
          <w:tcPr>
            <w:tcW w:w="5475" w:type="dxa"/>
            <w:tcBorders>
              <w:top w:val="nil"/>
              <w:left w:val="nil"/>
              <w:bottom w:val="nil"/>
              <w:right w:val="nil"/>
            </w:tcBorders>
            <w:shd w:val="clear" w:color="000000" w:fill="F2F2F2"/>
            <w:vAlign w:val="center"/>
          </w:tcPr>
          <w:p w14:paraId="201A714C" w14:textId="3165212A" w:rsidR="00DD3BCC" w:rsidRPr="006A5F0E" w:rsidRDefault="00DD3BCC" w:rsidP="00DD3BC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Tiendas</w:t>
            </w:r>
          </w:p>
        </w:tc>
        <w:tc>
          <w:tcPr>
            <w:tcW w:w="1960" w:type="dxa"/>
            <w:tcBorders>
              <w:top w:val="nil"/>
              <w:left w:val="nil"/>
              <w:bottom w:val="nil"/>
              <w:right w:val="nil"/>
            </w:tcBorders>
            <w:shd w:val="clear" w:color="000000" w:fill="F2F2F2"/>
            <w:vAlign w:val="center"/>
          </w:tcPr>
          <w:p w14:paraId="31792FDA" w14:textId="346C6D15"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362,374,597.1</w:t>
            </w:r>
          </w:p>
        </w:tc>
        <w:tc>
          <w:tcPr>
            <w:tcW w:w="1961" w:type="dxa"/>
            <w:tcBorders>
              <w:top w:val="nil"/>
              <w:left w:val="nil"/>
              <w:bottom w:val="nil"/>
              <w:right w:val="nil"/>
            </w:tcBorders>
            <w:shd w:val="clear" w:color="000000" w:fill="F2F2F2"/>
            <w:vAlign w:val="center"/>
          </w:tcPr>
          <w:p w14:paraId="112D7D5D" w14:textId="56691C07"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465,824,883.9</w:t>
            </w:r>
          </w:p>
        </w:tc>
      </w:tr>
      <w:tr w:rsidR="00DD3BCC" w:rsidRPr="00FC0913" w14:paraId="312146B8" w14:textId="77777777" w:rsidTr="00ED10B2">
        <w:trPr>
          <w:trHeight w:val="283"/>
          <w:jc w:val="center"/>
        </w:trPr>
        <w:tc>
          <w:tcPr>
            <w:tcW w:w="5475" w:type="dxa"/>
            <w:tcBorders>
              <w:top w:val="nil"/>
              <w:left w:val="nil"/>
              <w:bottom w:val="nil"/>
              <w:right w:val="nil"/>
            </w:tcBorders>
            <w:shd w:val="clear" w:color="000000" w:fill="F2F2F2"/>
            <w:vAlign w:val="center"/>
          </w:tcPr>
          <w:p w14:paraId="3DAB4FDD" w14:textId="29C6A5C7" w:rsidR="00DD3BCC" w:rsidRPr="006A5F0E" w:rsidRDefault="00DD3BCC" w:rsidP="00DD3BCC">
            <w:pPr>
              <w:spacing w:after="0" w:line="240" w:lineRule="auto"/>
              <w:jc w:val="both"/>
              <w:rPr>
                <w:rFonts w:ascii="Noto Sans" w:eastAsia="Times New Roman" w:hAnsi="Noto Sans" w:cs="Noto Sans"/>
                <w:b/>
                <w:bCs/>
                <w:color w:val="000000"/>
                <w:sz w:val="15"/>
                <w:szCs w:val="15"/>
                <w:lang w:eastAsia="es-MX"/>
              </w:rPr>
            </w:pPr>
            <w:r>
              <w:rPr>
                <w:rFonts w:ascii="Noto Sans" w:hAnsi="Noto Sans" w:cs="Noto Sans"/>
                <w:color w:val="000000"/>
                <w:sz w:val="15"/>
                <w:szCs w:val="15"/>
              </w:rPr>
              <w:t>Centros Vacacionales y Unidad de Congresos</w:t>
            </w:r>
          </w:p>
        </w:tc>
        <w:tc>
          <w:tcPr>
            <w:tcW w:w="1960" w:type="dxa"/>
            <w:tcBorders>
              <w:top w:val="nil"/>
              <w:left w:val="nil"/>
              <w:bottom w:val="nil"/>
              <w:right w:val="nil"/>
            </w:tcBorders>
            <w:shd w:val="clear" w:color="000000" w:fill="F2F2F2"/>
            <w:vAlign w:val="center"/>
          </w:tcPr>
          <w:p w14:paraId="7023B397" w14:textId="54E3D242"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201,782,324.3</w:t>
            </w:r>
          </w:p>
        </w:tc>
        <w:tc>
          <w:tcPr>
            <w:tcW w:w="1961" w:type="dxa"/>
            <w:tcBorders>
              <w:top w:val="nil"/>
              <w:left w:val="nil"/>
              <w:bottom w:val="nil"/>
              <w:right w:val="nil"/>
            </w:tcBorders>
            <w:shd w:val="clear" w:color="000000" w:fill="F2F2F2"/>
            <w:vAlign w:val="center"/>
          </w:tcPr>
          <w:p w14:paraId="24AD8DAF" w14:textId="58303C90"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201,510,827.4</w:t>
            </w:r>
          </w:p>
        </w:tc>
      </w:tr>
      <w:tr w:rsidR="00DD3BCC" w:rsidRPr="00FC0913" w14:paraId="5CC26731" w14:textId="77777777" w:rsidTr="00ED10B2">
        <w:trPr>
          <w:trHeight w:val="283"/>
          <w:jc w:val="center"/>
        </w:trPr>
        <w:tc>
          <w:tcPr>
            <w:tcW w:w="5475" w:type="dxa"/>
            <w:tcBorders>
              <w:top w:val="nil"/>
              <w:left w:val="nil"/>
              <w:bottom w:val="nil"/>
              <w:right w:val="nil"/>
            </w:tcBorders>
            <w:shd w:val="clear" w:color="000000" w:fill="F2F2F2"/>
            <w:vAlign w:val="center"/>
          </w:tcPr>
          <w:p w14:paraId="64A2DA02" w14:textId="23352D08" w:rsidR="00DD3BCC" w:rsidRPr="006A5F0E" w:rsidRDefault="00DD3BCC" w:rsidP="00DD3BC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Ingresos por Atención Médica a no Derechohabientes</w:t>
            </w:r>
          </w:p>
        </w:tc>
        <w:tc>
          <w:tcPr>
            <w:tcW w:w="1960" w:type="dxa"/>
            <w:tcBorders>
              <w:top w:val="nil"/>
              <w:left w:val="nil"/>
              <w:bottom w:val="nil"/>
              <w:right w:val="nil"/>
            </w:tcBorders>
            <w:shd w:val="clear" w:color="000000" w:fill="F2F2F2"/>
            <w:vAlign w:val="center"/>
          </w:tcPr>
          <w:p w14:paraId="56925E69" w14:textId="3477D4C9"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8,202,576.0</w:t>
            </w:r>
          </w:p>
        </w:tc>
        <w:tc>
          <w:tcPr>
            <w:tcW w:w="1961" w:type="dxa"/>
            <w:tcBorders>
              <w:top w:val="nil"/>
              <w:left w:val="nil"/>
              <w:bottom w:val="nil"/>
              <w:right w:val="nil"/>
            </w:tcBorders>
            <w:shd w:val="clear" w:color="000000" w:fill="F2F2F2"/>
            <w:vAlign w:val="center"/>
          </w:tcPr>
          <w:p w14:paraId="483CBA43" w14:textId="2D987399" w:rsidR="00DD3BCC" w:rsidRPr="006A5F0E" w:rsidRDefault="00DD3BCC" w:rsidP="00DD3BC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15,613,928.0</w:t>
            </w:r>
          </w:p>
        </w:tc>
      </w:tr>
      <w:tr w:rsidR="00DD3BCC" w:rsidRPr="005946C5" w14:paraId="17BB0A75"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28FDAE40" w14:textId="53E9A8A5" w:rsidR="00DD3BCC" w:rsidRPr="006A5F0E" w:rsidRDefault="00DD3BCC" w:rsidP="00DD3BCC">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Ingresos por Venta de Bienes y Prestación de Servicios</w:t>
            </w:r>
          </w:p>
        </w:tc>
        <w:tc>
          <w:tcPr>
            <w:tcW w:w="1960" w:type="dxa"/>
            <w:tcBorders>
              <w:top w:val="nil"/>
              <w:left w:val="nil"/>
              <w:bottom w:val="single" w:sz="12" w:space="0" w:color="A6802D"/>
              <w:right w:val="nil"/>
            </w:tcBorders>
            <w:shd w:val="clear" w:color="000000" w:fill="F2F2F2"/>
            <w:vAlign w:val="center"/>
          </w:tcPr>
          <w:p w14:paraId="271292DC" w14:textId="6CC11C98" w:rsidR="00DD3BCC" w:rsidRPr="006A5F0E" w:rsidRDefault="00DD3BCC" w:rsidP="00DD3BC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3,888,471,351.1</w:t>
            </w:r>
          </w:p>
        </w:tc>
        <w:tc>
          <w:tcPr>
            <w:tcW w:w="1961" w:type="dxa"/>
            <w:tcBorders>
              <w:top w:val="nil"/>
              <w:left w:val="nil"/>
              <w:bottom w:val="single" w:sz="12" w:space="0" w:color="A6802D"/>
              <w:right w:val="nil"/>
            </w:tcBorders>
            <w:shd w:val="clear" w:color="000000" w:fill="F2F2F2"/>
            <w:vAlign w:val="center"/>
          </w:tcPr>
          <w:p w14:paraId="0E98D1F3" w14:textId="1E4D9ADD" w:rsidR="00DD3BCC" w:rsidRPr="006A5F0E" w:rsidRDefault="00DD3BCC" w:rsidP="00DD3BC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3,935,018,164.2</w:t>
            </w:r>
          </w:p>
        </w:tc>
      </w:tr>
      <w:tr w:rsidR="006A5F0E" w:rsidRPr="00274555" w14:paraId="777B3FA8" w14:textId="77777777" w:rsidTr="00ED10B2">
        <w:trPr>
          <w:trHeight w:val="226"/>
          <w:jc w:val="center"/>
        </w:trPr>
        <w:tc>
          <w:tcPr>
            <w:tcW w:w="5475" w:type="dxa"/>
            <w:tcBorders>
              <w:top w:val="single" w:sz="12" w:space="0" w:color="A6802D"/>
              <w:left w:val="nil"/>
              <w:right w:val="nil"/>
            </w:tcBorders>
            <w:vAlign w:val="center"/>
          </w:tcPr>
          <w:p w14:paraId="7D8CE04D"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2085D3D9"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491CF8A2"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4E4603F2" w14:textId="77777777" w:rsidR="006A5F0E" w:rsidRDefault="006A5F0E" w:rsidP="006A5F0E">
      <w:pPr>
        <w:pStyle w:val="Prrafodelista"/>
        <w:spacing w:after="120" w:line="250" w:lineRule="exact"/>
        <w:ind w:left="357"/>
        <w:rPr>
          <w:rFonts w:ascii="Noto Sans" w:hAnsi="Noto Sans" w:cs="Noto Sans"/>
          <w:sz w:val="18"/>
          <w:szCs w:val="18"/>
        </w:rPr>
      </w:pPr>
    </w:p>
    <w:p w14:paraId="6F1234C0" w14:textId="77777777" w:rsidR="00B40AB0" w:rsidRDefault="00B40AB0" w:rsidP="006A5F0E">
      <w:pPr>
        <w:pStyle w:val="Prrafodelista"/>
        <w:spacing w:after="120" w:line="250" w:lineRule="exact"/>
        <w:ind w:left="357"/>
        <w:rPr>
          <w:rFonts w:ascii="Noto Sans" w:hAnsi="Noto Sans" w:cs="Noto Sans"/>
          <w:sz w:val="18"/>
          <w:szCs w:val="18"/>
        </w:rPr>
      </w:pPr>
    </w:p>
    <w:p w14:paraId="287EA1C9" w14:textId="77777777" w:rsidR="006A5F0E" w:rsidRDefault="006A5F0E" w:rsidP="00D461EC">
      <w:pPr>
        <w:pStyle w:val="Prrafodelista"/>
        <w:numPr>
          <w:ilvl w:val="0"/>
          <w:numId w:val="23"/>
        </w:numPr>
        <w:spacing w:after="120" w:line="250" w:lineRule="exact"/>
        <w:ind w:left="357" w:hanging="357"/>
        <w:rPr>
          <w:rFonts w:ascii="Noto Sans" w:hAnsi="Noto Sans" w:cs="Noto Sans"/>
          <w:sz w:val="18"/>
          <w:szCs w:val="18"/>
        </w:rPr>
      </w:pPr>
      <w:r>
        <w:rPr>
          <w:rFonts w:ascii="Noto Sans" w:hAnsi="Noto Sans" w:cs="Noto Sans"/>
          <w:sz w:val="18"/>
          <w:szCs w:val="18"/>
        </w:rPr>
        <w:t>1</w:t>
      </w:r>
      <w:r w:rsidRPr="00305AFE">
        <w:rPr>
          <w:rFonts w:ascii="Noto Sans" w:hAnsi="Noto Sans" w:cs="Noto Sans"/>
          <w:sz w:val="18"/>
          <w:szCs w:val="18"/>
        </w:rPr>
        <w:t>.</w:t>
      </w:r>
      <w:r>
        <w:rPr>
          <w:rFonts w:ascii="Noto Sans" w:hAnsi="Noto Sans" w:cs="Noto Sans"/>
          <w:sz w:val="18"/>
          <w:szCs w:val="18"/>
        </w:rPr>
        <w:t xml:space="preserve">3 </w:t>
      </w:r>
      <w:r w:rsidRPr="00305AFE">
        <w:rPr>
          <w:rFonts w:ascii="Noto Sans" w:hAnsi="Noto Sans" w:cs="Noto Sans"/>
          <w:sz w:val="18"/>
          <w:szCs w:val="18"/>
        </w:rPr>
        <w:t>Otros Ingresos y Beneficios</w:t>
      </w:r>
    </w:p>
    <w:p w14:paraId="1D117590" w14:textId="1C1C1B34" w:rsidR="006A5F0E" w:rsidRDefault="006A5F0E" w:rsidP="006A5F0E">
      <w:pPr>
        <w:spacing w:after="120" w:line="250" w:lineRule="exact"/>
        <w:rPr>
          <w:rFonts w:ascii="Noto Sans" w:hAnsi="Noto Sans" w:cs="Noto Sans"/>
          <w:sz w:val="18"/>
          <w:szCs w:val="18"/>
        </w:rPr>
      </w:pPr>
      <w:r w:rsidRPr="0039034B">
        <w:rPr>
          <w:rFonts w:ascii="Noto Sans" w:hAnsi="Noto Sans" w:cs="Noto Sans"/>
          <w:sz w:val="18"/>
          <w:szCs w:val="18"/>
        </w:rPr>
        <w:t xml:space="preserve">Los Otros Ingresos y Beneficios </w:t>
      </w:r>
      <w:r w:rsidR="00FE0B69">
        <w:rPr>
          <w:rFonts w:ascii="Noto Sans" w:hAnsi="Noto Sans" w:cs="Noto Sans"/>
          <w:sz w:val="18"/>
          <w:szCs w:val="18"/>
        </w:rPr>
        <w:t>a</w:t>
      </w:r>
      <w:r w:rsidR="00FE0B69" w:rsidRPr="000F4D76">
        <w:rPr>
          <w:rFonts w:ascii="Noto Sans" w:hAnsi="Noto Sans" w:cs="Noto Sans"/>
          <w:sz w:val="18"/>
          <w:szCs w:val="18"/>
        </w:rPr>
        <w:t xml:space="preserve">l </w:t>
      </w:r>
      <w:r w:rsidR="009160F3" w:rsidRPr="006E0FF8">
        <w:rPr>
          <w:rFonts w:ascii="Noto Sans" w:hAnsi="Noto Sans" w:cs="Noto Sans"/>
          <w:sz w:val="18"/>
          <w:szCs w:val="18"/>
        </w:rPr>
        <w:t xml:space="preserve">30 de junio </w:t>
      </w:r>
      <w:r w:rsidR="00FE0B69" w:rsidRPr="000F4D76">
        <w:rPr>
          <w:rFonts w:ascii="Noto Sans" w:hAnsi="Noto Sans" w:cs="Noto Sans"/>
          <w:sz w:val="18"/>
          <w:szCs w:val="18"/>
        </w:rPr>
        <w:t>de 2025 y 2024</w:t>
      </w:r>
      <w:r w:rsidRPr="0039034B">
        <w:rPr>
          <w:rFonts w:ascii="Noto Sans" w:hAnsi="Noto Sans" w:cs="Noto Sans"/>
          <w:sz w:val="18"/>
          <w:szCs w:val="18"/>
        </w:rPr>
        <w:t>, se integran de la siguiente manera:</w:t>
      </w:r>
    </w:p>
    <w:p w14:paraId="41D7CB1C" w14:textId="77777777" w:rsidR="006A5F0E" w:rsidRDefault="006A5F0E"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10FDADD6"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E97DB0D"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2BB281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30D1FC8A"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F02962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14629FB" w14:textId="492B07E9" w:rsidR="006A5F0E" w:rsidRPr="008E629A" w:rsidRDefault="002038A2"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BC572CE" w14:textId="6293A8C4" w:rsidR="006A5F0E" w:rsidRPr="008E629A" w:rsidRDefault="002038A2"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4C3B9A" w:rsidRPr="005946C5" w14:paraId="3E2A191F" w14:textId="77777777" w:rsidTr="0081155E">
        <w:trPr>
          <w:trHeight w:val="267"/>
          <w:jc w:val="center"/>
        </w:trPr>
        <w:tc>
          <w:tcPr>
            <w:tcW w:w="5475" w:type="dxa"/>
            <w:tcBorders>
              <w:top w:val="nil"/>
              <w:left w:val="nil"/>
              <w:bottom w:val="nil"/>
              <w:right w:val="nil"/>
            </w:tcBorders>
            <w:shd w:val="clear" w:color="000000" w:fill="F2F2F2"/>
            <w:vAlign w:val="center"/>
          </w:tcPr>
          <w:p w14:paraId="02D1FA5A" w14:textId="0044AC57" w:rsidR="004C3B9A" w:rsidRPr="006A5F0E" w:rsidRDefault="004C3B9A" w:rsidP="004C3B9A">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Ingresos Financieros </w:t>
            </w:r>
            <w:r>
              <w:rPr>
                <w:rFonts w:ascii="Noto Sans" w:hAnsi="Noto Sans" w:cs="Noto Sans"/>
                <w:b/>
                <w:bCs/>
                <w:color w:val="000000"/>
                <w:sz w:val="15"/>
                <w:szCs w:val="15"/>
              </w:rPr>
              <w:t>(1.3.a)</w:t>
            </w:r>
          </w:p>
        </w:tc>
        <w:tc>
          <w:tcPr>
            <w:tcW w:w="1960" w:type="dxa"/>
            <w:tcBorders>
              <w:top w:val="nil"/>
              <w:left w:val="nil"/>
              <w:bottom w:val="nil"/>
              <w:right w:val="nil"/>
            </w:tcBorders>
            <w:shd w:val="clear" w:color="000000" w:fill="F2F2F2"/>
            <w:vAlign w:val="center"/>
          </w:tcPr>
          <w:p w14:paraId="4C7DF55C" w14:textId="556E4D78"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16,684,414,482.1</w:t>
            </w:r>
          </w:p>
        </w:tc>
        <w:tc>
          <w:tcPr>
            <w:tcW w:w="1961" w:type="dxa"/>
            <w:tcBorders>
              <w:top w:val="nil"/>
              <w:left w:val="nil"/>
              <w:bottom w:val="nil"/>
              <w:right w:val="nil"/>
            </w:tcBorders>
            <w:shd w:val="clear" w:color="000000" w:fill="F2F2F2"/>
            <w:vAlign w:val="center"/>
          </w:tcPr>
          <w:p w14:paraId="173A99C7" w14:textId="355C29F2"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15,476,650,134.4</w:t>
            </w:r>
          </w:p>
        </w:tc>
      </w:tr>
      <w:tr w:rsidR="004C3B9A" w:rsidRPr="00FC0913" w14:paraId="72C9CA48" w14:textId="77777777" w:rsidTr="00ED10B2">
        <w:trPr>
          <w:trHeight w:val="283"/>
          <w:jc w:val="center"/>
        </w:trPr>
        <w:tc>
          <w:tcPr>
            <w:tcW w:w="5475" w:type="dxa"/>
            <w:tcBorders>
              <w:top w:val="nil"/>
              <w:left w:val="nil"/>
              <w:bottom w:val="nil"/>
              <w:right w:val="nil"/>
            </w:tcBorders>
            <w:shd w:val="clear" w:color="000000" w:fill="F2F2F2"/>
            <w:vAlign w:val="center"/>
          </w:tcPr>
          <w:p w14:paraId="70128C15" w14:textId="15CAE9D2" w:rsidR="004C3B9A" w:rsidRPr="006A5F0E" w:rsidRDefault="004C3B9A" w:rsidP="004C3B9A">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Incremento por Variación de Inventarios </w:t>
            </w:r>
            <w:r>
              <w:rPr>
                <w:rFonts w:ascii="Noto Sans" w:hAnsi="Noto Sans" w:cs="Noto Sans"/>
                <w:b/>
                <w:bCs/>
                <w:color w:val="000000"/>
                <w:sz w:val="15"/>
                <w:szCs w:val="15"/>
              </w:rPr>
              <w:t>(1.3.b)</w:t>
            </w:r>
          </w:p>
        </w:tc>
        <w:tc>
          <w:tcPr>
            <w:tcW w:w="1960" w:type="dxa"/>
            <w:tcBorders>
              <w:top w:val="nil"/>
              <w:left w:val="nil"/>
              <w:bottom w:val="nil"/>
              <w:right w:val="nil"/>
            </w:tcBorders>
            <w:shd w:val="clear" w:color="000000" w:fill="F2F2F2"/>
            <w:vAlign w:val="center"/>
          </w:tcPr>
          <w:p w14:paraId="1294E8F5" w14:textId="039ECDC3"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2,875,756,814.5</w:t>
            </w:r>
          </w:p>
        </w:tc>
        <w:tc>
          <w:tcPr>
            <w:tcW w:w="1961" w:type="dxa"/>
            <w:tcBorders>
              <w:top w:val="nil"/>
              <w:left w:val="nil"/>
              <w:bottom w:val="nil"/>
              <w:right w:val="nil"/>
            </w:tcBorders>
            <w:shd w:val="clear" w:color="000000" w:fill="F2F2F2"/>
            <w:vAlign w:val="center"/>
          </w:tcPr>
          <w:p w14:paraId="75B9C50F" w14:textId="2BC1EE00"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1,393,949,081.7</w:t>
            </w:r>
          </w:p>
        </w:tc>
      </w:tr>
      <w:tr w:rsidR="004C3B9A" w:rsidRPr="00FC0913" w14:paraId="5BE25FF8" w14:textId="77777777" w:rsidTr="00ED10B2">
        <w:trPr>
          <w:trHeight w:val="283"/>
          <w:jc w:val="center"/>
        </w:trPr>
        <w:tc>
          <w:tcPr>
            <w:tcW w:w="5475" w:type="dxa"/>
            <w:tcBorders>
              <w:top w:val="nil"/>
              <w:left w:val="nil"/>
              <w:bottom w:val="nil"/>
              <w:right w:val="nil"/>
            </w:tcBorders>
            <w:shd w:val="clear" w:color="000000" w:fill="F2F2F2"/>
            <w:vAlign w:val="center"/>
          </w:tcPr>
          <w:p w14:paraId="4262137C" w14:textId="3EE6F019" w:rsidR="004C3B9A" w:rsidRPr="006A5F0E" w:rsidRDefault="004C3B9A" w:rsidP="004C3B9A">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Ingresos y Beneficios Varios</w:t>
            </w:r>
            <w:r>
              <w:rPr>
                <w:rFonts w:ascii="Noto Sans" w:hAnsi="Noto Sans" w:cs="Noto Sans"/>
                <w:b/>
                <w:bCs/>
                <w:color w:val="000000"/>
                <w:sz w:val="15"/>
                <w:szCs w:val="15"/>
              </w:rPr>
              <w:t xml:space="preserve"> (1.3.c)</w:t>
            </w:r>
          </w:p>
        </w:tc>
        <w:tc>
          <w:tcPr>
            <w:tcW w:w="1960" w:type="dxa"/>
            <w:tcBorders>
              <w:top w:val="nil"/>
              <w:left w:val="nil"/>
              <w:bottom w:val="nil"/>
              <w:right w:val="nil"/>
            </w:tcBorders>
            <w:shd w:val="clear" w:color="000000" w:fill="F2F2F2"/>
            <w:vAlign w:val="center"/>
          </w:tcPr>
          <w:p w14:paraId="4792421B" w14:textId="7E486B28"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1,470,938,251.7</w:t>
            </w:r>
          </w:p>
        </w:tc>
        <w:tc>
          <w:tcPr>
            <w:tcW w:w="1961" w:type="dxa"/>
            <w:tcBorders>
              <w:top w:val="nil"/>
              <w:left w:val="nil"/>
              <w:bottom w:val="nil"/>
              <w:right w:val="nil"/>
            </w:tcBorders>
            <w:shd w:val="clear" w:color="000000" w:fill="F2F2F2"/>
            <w:vAlign w:val="center"/>
          </w:tcPr>
          <w:p w14:paraId="50FED947" w14:textId="49D43B9C"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3,973,750,407.9</w:t>
            </w:r>
          </w:p>
        </w:tc>
      </w:tr>
      <w:tr w:rsidR="004C3B9A" w:rsidRPr="00FC0913" w14:paraId="246EB2A4" w14:textId="77777777" w:rsidTr="00ED10B2">
        <w:trPr>
          <w:trHeight w:val="283"/>
          <w:jc w:val="center"/>
        </w:trPr>
        <w:tc>
          <w:tcPr>
            <w:tcW w:w="5475" w:type="dxa"/>
            <w:tcBorders>
              <w:top w:val="nil"/>
              <w:left w:val="nil"/>
              <w:bottom w:val="nil"/>
              <w:right w:val="nil"/>
            </w:tcBorders>
            <w:shd w:val="clear" w:color="000000" w:fill="F2F2F2"/>
            <w:vAlign w:val="center"/>
          </w:tcPr>
          <w:p w14:paraId="16888B82" w14:textId="1A85E555" w:rsidR="004C3B9A" w:rsidRPr="006A5F0E" w:rsidRDefault="004C3B9A" w:rsidP="004C3B9A">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Disminución del Exceso de Provisiones</w:t>
            </w:r>
          </w:p>
        </w:tc>
        <w:tc>
          <w:tcPr>
            <w:tcW w:w="1960" w:type="dxa"/>
            <w:tcBorders>
              <w:top w:val="nil"/>
              <w:left w:val="nil"/>
              <w:bottom w:val="nil"/>
              <w:right w:val="nil"/>
            </w:tcBorders>
            <w:shd w:val="clear" w:color="000000" w:fill="F2F2F2"/>
            <w:vAlign w:val="center"/>
          </w:tcPr>
          <w:p w14:paraId="0F5CA89C" w14:textId="3B43DC03"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393,860.4</w:t>
            </w:r>
          </w:p>
        </w:tc>
        <w:tc>
          <w:tcPr>
            <w:tcW w:w="1961" w:type="dxa"/>
            <w:tcBorders>
              <w:top w:val="nil"/>
              <w:left w:val="nil"/>
              <w:bottom w:val="nil"/>
              <w:right w:val="nil"/>
            </w:tcBorders>
            <w:shd w:val="clear" w:color="000000" w:fill="F2F2F2"/>
            <w:vAlign w:val="center"/>
          </w:tcPr>
          <w:p w14:paraId="70BD2CDB" w14:textId="6DFF9FB1"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2,297,797.0</w:t>
            </w:r>
          </w:p>
        </w:tc>
      </w:tr>
      <w:tr w:rsidR="004C3B9A" w:rsidRPr="00FC0913" w14:paraId="794F8485" w14:textId="77777777" w:rsidTr="00ED10B2">
        <w:trPr>
          <w:trHeight w:val="283"/>
          <w:jc w:val="center"/>
        </w:trPr>
        <w:tc>
          <w:tcPr>
            <w:tcW w:w="5475" w:type="dxa"/>
            <w:tcBorders>
              <w:top w:val="nil"/>
              <w:left w:val="nil"/>
              <w:bottom w:val="nil"/>
              <w:right w:val="nil"/>
            </w:tcBorders>
            <w:shd w:val="clear" w:color="000000" w:fill="F2F2F2"/>
            <w:vAlign w:val="center"/>
          </w:tcPr>
          <w:p w14:paraId="45C7F267" w14:textId="5E3875EF" w:rsidR="004C3B9A" w:rsidRPr="006A5F0E" w:rsidRDefault="004C3B9A" w:rsidP="004C3B9A">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Disminución del Exceso de Estimaciones por Pérdida o Deterioro u Obsolescencia</w:t>
            </w:r>
          </w:p>
        </w:tc>
        <w:tc>
          <w:tcPr>
            <w:tcW w:w="1960" w:type="dxa"/>
            <w:tcBorders>
              <w:top w:val="nil"/>
              <w:left w:val="nil"/>
              <w:bottom w:val="nil"/>
              <w:right w:val="nil"/>
            </w:tcBorders>
            <w:shd w:val="clear" w:color="000000" w:fill="F2F2F2"/>
            <w:vAlign w:val="center"/>
          </w:tcPr>
          <w:p w14:paraId="22AB356F" w14:textId="50ABE29F"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r w:rsidR="006E0FF8">
              <w:rPr>
                <w:rFonts w:ascii="Noto Sans" w:hAnsi="Noto Sans" w:cs="Noto Sans"/>
                <w:color w:val="000000"/>
                <w:sz w:val="15"/>
                <w:szCs w:val="15"/>
              </w:rPr>
              <w:t>.0</w:t>
            </w:r>
          </w:p>
        </w:tc>
        <w:tc>
          <w:tcPr>
            <w:tcW w:w="1961" w:type="dxa"/>
            <w:tcBorders>
              <w:top w:val="nil"/>
              <w:left w:val="nil"/>
              <w:bottom w:val="nil"/>
              <w:right w:val="nil"/>
            </w:tcBorders>
            <w:shd w:val="clear" w:color="000000" w:fill="F2F2F2"/>
            <w:vAlign w:val="center"/>
          </w:tcPr>
          <w:p w14:paraId="1D2D98E7" w14:textId="029E4935" w:rsidR="004C3B9A" w:rsidRPr="006A5F0E" w:rsidRDefault="004C3B9A" w:rsidP="004C3B9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172,912,849.4</w:t>
            </w:r>
          </w:p>
        </w:tc>
      </w:tr>
      <w:tr w:rsidR="00616ECA" w:rsidRPr="005946C5" w14:paraId="411DB7EF"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7A9BE1C4" w14:textId="49601099" w:rsidR="00616ECA" w:rsidRPr="006A5F0E" w:rsidRDefault="00616ECA" w:rsidP="00616ECA">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Ingresos y Beneficios </w:t>
            </w:r>
          </w:p>
        </w:tc>
        <w:tc>
          <w:tcPr>
            <w:tcW w:w="1960" w:type="dxa"/>
            <w:tcBorders>
              <w:top w:val="nil"/>
              <w:left w:val="nil"/>
              <w:bottom w:val="single" w:sz="12" w:space="0" w:color="A6802D"/>
              <w:right w:val="nil"/>
            </w:tcBorders>
            <w:shd w:val="clear" w:color="000000" w:fill="F2F2F2"/>
            <w:vAlign w:val="center"/>
          </w:tcPr>
          <w:p w14:paraId="49311B5B" w14:textId="51A859D9" w:rsidR="00616ECA" w:rsidRPr="006A5F0E" w:rsidRDefault="00616ECA" w:rsidP="00616ECA">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21,031,503,408.7</w:t>
            </w:r>
          </w:p>
        </w:tc>
        <w:tc>
          <w:tcPr>
            <w:tcW w:w="1961" w:type="dxa"/>
            <w:tcBorders>
              <w:top w:val="nil"/>
              <w:left w:val="nil"/>
              <w:bottom w:val="single" w:sz="12" w:space="0" w:color="A6802D"/>
              <w:right w:val="nil"/>
            </w:tcBorders>
            <w:shd w:val="clear" w:color="000000" w:fill="F2F2F2"/>
            <w:vAlign w:val="center"/>
          </w:tcPr>
          <w:p w14:paraId="7BF35556" w14:textId="041403B0" w:rsidR="00616ECA" w:rsidRPr="006A5F0E" w:rsidRDefault="00616ECA" w:rsidP="00616ECA">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21,019,560,270.4</w:t>
            </w:r>
          </w:p>
        </w:tc>
      </w:tr>
      <w:tr w:rsidR="006A5F0E" w:rsidRPr="00274555" w14:paraId="67FF0F25" w14:textId="77777777" w:rsidTr="00ED10B2">
        <w:trPr>
          <w:trHeight w:val="226"/>
          <w:jc w:val="center"/>
        </w:trPr>
        <w:tc>
          <w:tcPr>
            <w:tcW w:w="5475" w:type="dxa"/>
            <w:tcBorders>
              <w:top w:val="single" w:sz="12" w:space="0" w:color="A6802D"/>
              <w:left w:val="nil"/>
              <w:right w:val="nil"/>
            </w:tcBorders>
            <w:vAlign w:val="center"/>
          </w:tcPr>
          <w:p w14:paraId="2C2610AF"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4B5AE0A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868CFF6"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106822A6" w14:textId="77777777" w:rsidR="0020655B" w:rsidRDefault="0020655B" w:rsidP="006A5F0E">
      <w:pPr>
        <w:spacing w:after="120" w:line="250" w:lineRule="exact"/>
        <w:rPr>
          <w:rFonts w:ascii="Noto Sans" w:hAnsi="Noto Sans" w:cs="Noto Sans"/>
          <w:sz w:val="18"/>
          <w:szCs w:val="18"/>
        </w:rPr>
      </w:pPr>
    </w:p>
    <w:p w14:paraId="54087D95" w14:textId="77777777" w:rsidR="006A5F0E" w:rsidRDefault="006A5F0E" w:rsidP="00D461EC">
      <w:pPr>
        <w:pStyle w:val="Prrafodelista"/>
        <w:numPr>
          <w:ilvl w:val="0"/>
          <w:numId w:val="24"/>
        </w:numPr>
        <w:spacing w:after="120" w:line="250" w:lineRule="exact"/>
        <w:ind w:left="714" w:hanging="357"/>
        <w:rPr>
          <w:rFonts w:ascii="Noto Sans" w:hAnsi="Noto Sans" w:cs="Noto Sans"/>
          <w:sz w:val="18"/>
          <w:szCs w:val="18"/>
        </w:rPr>
      </w:pPr>
      <w:r>
        <w:rPr>
          <w:rFonts w:ascii="Noto Sans" w:hAnsi="Noto Sans" w:cs="Noto Sans"/>
          <w:sz w:val="18"/>
          <w:szCs w:val="18"/>
        </w:rPr>
        <w:t>1</w:t>
      </w:r>
      <w:r w:rsidRPr="00C0761C">
        <w:rPr>
          <w:rFonts w:ascii="Noto Sans" w:hAnsi="Noto Sans" w:cs="Noto Sans"/>
          <w:sz w:val="18"/>
          <w:szCs w:val="18"/>
        </w:rPr>
        <w:t>.3.a) Los intereses ganados se reconocen en el estado de actividades conforme se devengan.</w:t>
      </w:r>
    </w:p>
    <w:p w14:paraId="20BDC79A" w14:textId="77777777" w:rsidR="00B32C1E" w:rsidRPr="00B32C1E" w:rsidRDefault="00B32C1E" w:rsidP="00B32C1E">
      <w:pPr>
        <w:spacing w:after="120" w:line="250" w:lineRule="exact"/>
        <w:rPr>
          <w:rFonts w:ascii="Noto Sans" w:hAnsi="Noto Sans" w:cs="Noto Sans"/>
          <w:sz w:val="18"/>
          <w:szCs w:val="18"/>
        </w:rPr>
      </w:pPr>
    </w:p>
    <w:p w14:paraId="7546A75C" w14:textId="6A450405" w:rsidR="00B32C1E" w:rsidRPr="00601CD5" w:rsidRDefault="00B32C1E" w:rsidP="00B32C1E">
      <w:pPr>
        <w:pStyle w:val="Prrafodelista"/>
        <w:numPr>
          <w:ilvl w:val="0"/>
          <w:numId w:val="24"/>
        </w:numPr>
        <w:autoSpaceDE w:val="0"/>
        <w:autoSpaceDN w:val="0"/>
        <w:spacing w:after="120" w:line="250" w:lineRule="exact"/>
        <w:contextualSpacing w:val="0"/>
        <w:jc w:val="both"/>
        <w:rPr>
          <w:rFonts w:ascii="Noto Sans" w:hAnsi="Noto Sans" w:cs="Noto Sans"/>
          <w:sz w:val="18"/>
          <w:szCs w:val="18"/>
        </w:rPr>
      </w:pPr>
      <w:r>
        <w:rPr>
          <w:rFonts w:ascii="Noto Sans" w:hAnsi="Noto Sans" w:cs="Noto Sans"/>
          <w:sz w:val="18"/>
          <w:szCs w:val="18"/>
        </w:rPr>
        <w:lastRenderedPageBreak/>
        <w:t>1</w:t>
      </w:r>
      <w:r w:rsidRPr="00601CD5">
        <w:rPr>
          <w:rFonts w:ascii="Noto Sans" w:hAnsi="Noto Sans" w:cs="Noto Sans"/>
          <w:sz w:val="18"/>
          <w:szCs w:val="18"/>
        </w:rPr>
        <w:t>.3.</w:t>
      </w:r>
      <w:r>
        <w:rPr>
          <w:rFonts w:ascii="Noto Sans" w:hAnsi="Noto Sans" w:cs="Noto Sans"/>
          <w:sz w:val="18"/>
          <w:szCs w:val="18"/>
        </w:rPr>
        <w:t>b</w:t>
      </w:r>
      <w:r w:rsidRPr="00601CD5">
        <w:rPr>
          <w:rFonts w:ascii="Noto Sans" w:hAnsi="Noto Sans" w:cs="Noto Sans"/>
          <w:sz w:val="18"/>
          <w:szCs w:val="18"/>
        </w:rPr>
        <w:t xml:space="preserve">) </w:t>
      </w:r>
      <w:r>
        <w:rPr>
          <w:rFonts w:ascii="Noto Sans" w:hAnsi="Noto Sans" w:cs="Noto Sans"/>
          <w:sz w:val="18"/>
          <w:szCs w:val="18"/>
        </w:rPr>
        <w:t>A</w:t>
      </w:r>
      <w:r w:rsidRPr="000F4D76">
        <w:rPr>
          <w:rFonts w:ascii="Noto Sans" w:hAnsi="Noto Sans" w:cs="Noto Sans"/>
          <w:sz w:val="18"/>
          <w:szCs w:val="18"/>
        </w:rPr>
        <w:t xml:space="preserve">l </w:t>
      </w:r>
      <w:r w:rsidR="00C83357" w:rsidRPr="002B3F78">
        <w:rPr>
          <w:rFonts w:cs="Noto Sans"/>
          <w:szCs w:val="18"/>
        </w:rPr>
        <w:t>3</w:t>
      </w:r>
      <w:r w:rsidR="00C83357">
        <w:rPr>
          <w:rFonts w:cs="Noto Sans"/>
          <w:szCs w:val="18"/>
        </w:rPr>
        <w:t>0</w:t>
      </w:r>
      <w:r w:rsidR="00C83357" w:rsidRPr="002B3F78">
        <w:rPr>
          <w:rFonts w:cs="Noto Sans"/>
          <w:szCs w:val="18"/>
        </w:rPr>
        <w:t xml:space="preserve"> de </w:t>
      </w:r>
      <w:r w:rsidR="00C83357">
        <w:rPr>
          <w:rFonts w:cs="Noto Sans"/>
          <w:szCs w:val="18"/>
        </w:rPr>
        <w:t>junio</w:t>
      </w:r>
      <w:r w:rsidR="00C83357" w:rsidRPr="002B3F78">
        <w:rPr>
          <w:rFonts w:cs="Noto Sans"/>
          <w:szCs w:val="18"/>
        </w:rPr>
        <w:t xml:space="preserve"> </w:t>
      </w:r>
      <w:r w:rsidRPr="000F4D76">
        <w:rPr>
          <w:rFonts w:ascii="Noto Sans" w:hAnsi="Noto Sans" w:cs="Noto Sans"/>
          <w:sz w:val="18"/>
          <w:szCs w:val="18"/>
        </w:rPr>
        <w:t>de 2025 y 2024</w:t>
      </w:r>
      <w:r w:rsidRPr="00601CD5">
        <w:rPr>
          <w:rFonts w:ascii="Noto Sans" w:hAnsi="Noto Sans" w:cs="Noto Sans"/>
          <w:sz w:val="18"/>
          <w:szCs w:val="18"/>
        </w:rPr>
        <w:t xml:space="preserve">, se obtuvieron ingresos contables que no afectan el flujo de efectivo del </w:t>
      </w:r>
      <w:r w:rsidRPr="00B32C1E">
        <w:rPr>
          <w:rFonts w:ascii="Noto Sans" w:hAnsi="Noto Sans" w:cs="Noto Sans"/>
          <w:sz w:val="18"/>
          <w:szCs w:val="18"/>
        </w:rPr>
        <w:t xml:space="preserve">Instituto, por </w:t>
      </w:r>
      <w:r w:rsidR="00A702A2">
        <w:rPr>
          <w:rFonts w:ascii="Noto Sans" w:hAnsi="Noto Sans" w:cs="Noto Sans"/>
          <w:sz w:val="18"/>
          <w:szCs w:val="18"/>
        </w:rPr>
        <w:t xml:space="preserve">2,875,756,814.5 </w:t>
      </w:r>
      <w:r w:rsidRPr="00B32C1E">
        <w:rPr>
          <w:rFonts w:ascii="Noto Sans" w:hAnsi="Noto Sans" w:cs="Noto Sans"/>
          <w:sz w:val="18"/>
          <w:szCs w:val="18"/>
        </w:rPr>
        <w:t xml:space="preserve">pesos y </w:t>
      </w:r>
      <w:r w:rsidR="00A702A2">
        <w:rPr>
          <w:rFonts w:ascii="Noto Sans" w:hAnsi="Noto Sans" w:cs="Noto Sans"/>
          <w:sz w:val="18"/>
          <w:szCs w:val="18"/>
        </w:rPr>
        <w:t xml:space="preserve">1,393,949,081.7 </w:t>
      </w:r>
      <w:r w:rsidRPr="00B32C1E">
        <w:rPr>
          <w:rFonts w:ascii="Noto Sans" w:hAnsi="Noto Sans" w:cs="Noto Sans"/>
          <w:sz w:val="18"/>
          <w:szCs w:val="18"/>
        </w:rPr>
        <w:t>pesos, respectivamente, por el incremento en la variación de inventarios, esto debido a la variación de precios como resultado de comparar el precio unitario uniforme o el precio establecido en el catálogo institucional, respecto al precio de compra indicado</w:t>
      </w:r>
      <w:r w:rsidRPr="00601CD5">
        <w:rPr>
          <w:rFonts w:ascii="Noto Sans" w:hAnsi="Noto Sans" w:cs="Noto Sans"/>
          <w:sz w:val="18"/>
          <w:szCs w:val="18"/>
        </w:rPr>
        <w:t xml:space="preserve"> en el alta.</w:t>
      </w:r>
    </w:p>
    <w:p w14:paraId="328F7094" w14:textId="77777777" w:rsidR="00B32C1E" w:rsidRPr="00601CD5" w:rsidRDefault="00B32C1E" w:rsidP="00B32C1E">
      <w:pPr>
        <w:pStyle w:val="Prrafodelista"/>
        <w:autoSpaceDE w:val="0"/>
        <w:autoSpaceDN w:val="0"/>
        <w:spacing w:after="120" w:line="250" w:lineRule="exact"/>
        <w:ind w:left="714"/>
        <w:contextualSpacing w:val="0"/>
        <w:jc w:val="both"/>
        <w:rPr>
          <w:rFonts w:ascii="Noto Sans" w:hAnsi="Noto Sans" w:cs="Noto Sans"/>
          <w:sz w:val="18"/>
          <w:szCs w:val="18"/>
        </w:rPr>
      </w:pPr>
      <w:r w:rsidRPr="00601CD5">
        <w:rPr>
          <w:rFonts w:ascii="Noto Sans" w:hAnsi="Noto Sans" w:cs="Noto Sans"/>
          <w:sz w:val="18"/>
          <w:szCs w:val="18"/>
        </w:rPr>
        <w:t xml:space="preserve">Así como por la variación en los almacenes por la diferencia a favor entre el resultado en libros y el real de las existencias de materiales y suministros de consumo al fin de cada período. El inventario físico de la totalidad de los bienes se efectúa una vez al año en todas las unidades </w:t>
      </w:r>
      <w:proofErr w:type="spellStart"/>
      <w:r w:rsidRPr="00601CD5">
        <w:rPr>
          <w:rFonts w:ascii="Noto Sans" w:hAnsi="Noto Sans" w:cs="Noto Sans"/>
          <w:sz w:val="18"/>
          <w:szCs w:val="18"/>
        </w:rPr>
        <w:t>almacenarias</w:t>
      </w:r>
      <w:proofErr w:type="spellEnd"/>
      <w:r w:rsidRPr="00601CD5">
        <w:rPr>
          <w:rFonts w:ascii="Noto Sans" w:hAnsi="Noto Sans" w:cs="Noto Sans"/>
          <w:sz w:val="18"/>
          <w:szCs w:val="18"/>
        </w:rPr>
        <w:t xml:space="preserve"> del Instituto para determinar las existencias físicas reales y su valor.</w:t>
      </w:r>
    </w:p>
    <w:p w14:paraId="348B97E2" w14:textId="77777777" w:rsidR="00B40AB0" w:rsidRPr="00B40AB0" w:rsidRDefault="00B40AB0" w:rsidP="00B40AB0">
      <w:pPr>
        <w:spacing w:after="120" w:line="250" w:lineRule="exact"/>
        <w:rPr>
          <w:rFonts w:ascii="Noto Sans" w:hAnsi="Noto Sans" w:cs="Noto Sans"/>
          <w:sz w:val="18"/>
          <w:szCs w:val="18"/>
        </w:rPr>
      </w:pPr>
    </w:p>
    <w:p w14:paraId="6A4E8CF2" w14:textId="77097D1D" w:rsidR="006A5F0E" w:rsidRDefault="006A5F0E" w:rsidP="00D461EC">
      <w:pPr>
        <w:pStyle w:val="Prrafodelista"/>
        <w:numPr>
          <w:ilvl w:val="0"/>
          <w:numId w:val="24"/>
        </w:numPr>
        <w:spacing w:after="120" w:line="250" w:lineRule="exact"/>
        <w:ind w:left="714" w:hanging="357"/>
        <w:rPr>
          <w:rFonts w:ascii="Noto Sans" w:hAnsi="Noto Sans" w:cs="Noto Sans"/>
          <w:sz w:val="18"/>
          <w:szCs w:val="18"/>
        </w:rPr>
      </w:pPr>
      <w:r>
        <w:rPr>
          <w:rFonts w:ascii="Noto Sans" w:hAnsi="Noto Sans" w:cs="Noto Sans"/>
          <w:sz w:val="18"/>
          <w:szCs w:val="18"/>
        </w:rPr>
        <w:t>1</w:t>
      </w:r>
      <w:r w:rsidRPr="0039034B">
        <w:rPr>
          <w:rFonts w:ascii="Noto Sans" w:hAnsi="Noto Sans" w:cs="Noto Sans"/>
          <w:sz w:val="18"/>
          <w:szCs w:val="18"/>
        </w:rPr>
        <w:t>.3.</w:t>
      </w:r>
      <w:r w:rsidR="00B32C1E">
        <w:rPr>
          <w:rFonts w:ascii="Noto Sans" w:hAnsi="Noto Sans" w:cs="Noto Sans"/>
          <w:sz w:val="18"/>
          <w:szCs w:val="18"/>
        </w:rPr>
        <w:t>c</w:t>
      </w:r>
      <w:r w:rsidRPr="0039034B">
        <w:rPr>
          <w:rFonts w:ascii="Noto Sans" w:hAnsi="Noto Sans" w:cs="Noto Sans"/>
          <w:sz w:val="18"/>
          <w:szCs w:val="18"/>
        </w:rPr>
        <w:t xml:space="preserve">) </w:t>
      </w:r>
      <w:r w:rsidR="00FE0B69">
        <w:rPr>
          <w:rFonts w:ascii="Noto Sans" w:hAnsi="Noto Sans" w:cs="Noto Sans"/>
          <w:sz w:val="18"/>
          <w:szCs w:val="18"/>
        </w:rPr>
        <w:t>A</w:t>
      </w:r>
      <w:r w:rsidR="00FE0B69" w:rsidRPr="000F4D76">
        <w:rPr>
          <w:rFonts w:ascii="Noto Sans" w:hAnsi="Noto Sans" w:cs="Noto Sans"/>
          <w:sz w:val="18"/>
          <w:szCs w:val="18"/>
        </w:rPr>
        <w:t xml:space="preserve">l </w:t>
      </w:r>
      <w:r w:rsidR="00B24FC9" w:rsidRPr="002B3F78">
        <w:rPr>
          <w:rFonts w:cs="Noto Sans"/>
          <w:szCs w:val="18"/>
        </w:rPr>
        <w:t>3</w:t>
      </w:r>
      <w:r w:rsidR="00B24FC9">
        <w:rPr>
          <w:rFonts w:cs="Noto Sans"/>
          <w:szCs w:val="18"/>
        </w:rPr>
        <w:t>0</w:t>
      </w:r>
      <w:r w:rsidR="00B24FC9" w:rsidRPr="002B3F78">
        <w:rPr>
          <w:rFonts w:cs="Noto Sans"/>
          <w:szCs w:val="18"/>
        </w:rPr>
        <w:t xml:space="preserve"> de </w:t>
      </w:r>
      <w:r w:rsidR="00B24FC9">
        <w:rPr>
          <w:rFonts w:cs="Noto Sans"/>
          <w:szCs w:val="18"/>
        </w:rPr>
        <w:t>junio</w:t>
      </w:r>
      <w:r w:rsidR="00B24FC9" w:rsidRPr="002B3F78">
        <w:rPr>
          <w:rFonts w:cs="Noto Sans"/>
          <w:szCs w:val="18"/>
        </w:rPr>
        <w:t xml:space="preserve"> </w:t>
      </w:r>
      <w:r w:rsidR="00FE0B69" w:rsidRPr="000F4D76">
        <w:rPr>
          <w:rFonts w:ascii="Noto Sans" w:hAnsi="Noto Sans" w:cs="Noto Sans"/>
          <w:sz w:val="18"/>
          <w:szCs w:val="18"/>
        </w:rPr>
        <w:t>de 2025 y 2024</w:t>
      </w:r>
      <w:r w:rsidRPr="0039034B">
        <w:rPr>
          <w:rFonts w:ascii="Noto Sans" w:hAnsi="Noto Sans" w:cs="Noto Sans"/>
          <w:sz w:val="18"/>
          <w:szCs w:val="18"/>
        </w:rPr>
        <w:t>, el rubro de Otros Ingresos y Beneficios Varios se integran de la siguiente manera:</w:t>
      </w:r>
    </w:p>
    <w:p w14:paraId="62820391" w14:textId="77777777" w:rsidR="006A5F0E" w:rsidRDefault="006A5F0E"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63F5EEEE"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0CFC1D8"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D4C5216"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3D349609"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CDC119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19C256C" w14:textId="2EBE3C76"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E549066" w14:textId="30BB074F"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B30C23" w:rsidRPr="005946C5" w14:paraId="1E2ACEB7" w14:textId="77777777" w:rsidTr="00ED10B2">
        <w:trPr>
          <w:trHeight w:val="267"/>
          <w:jc w:val="center"/>
        </w:trPr>
        <w:tc>
          <w:tcPr>
            <w:tcW w:w="5475" w:type="dxa"/>
            <w:tcBorders>
              <w:top w:val="triple" w:sz="12" w:space="0" w:color="A6802D"/>
              <w:left w:val="nil"/>
              <w:bottom w:val="nil"/>
              <w:right w:val="nil"/>
            </w:tcBorders>
            <w:shd w:val="clear" w:color="000000" w:fill="F2F2F2"/>
            <w:vAlign w:val="center"/>
          </w:tcPr>
          <w:p w14:paraId="256CB036" w14:textId="65ADBEFA" w:rsidR="00B30C23" w:rsidRPr="006A5F0E" w:rsidRDefault="00B30C23" w:rsidP="00B30C23">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Ventas, Comisiones y Servicios</w:t>
            </w:r>
          </w:p>
        </w:tc>
        <w:tc>
          <w:tcPr>
            <w:tcW w:w="1960" w:type="dxa"/>
            <w:tcBorders>
              <w:top w:val="triple" w:sz="12" w:space="0" w:color="A6802D"/>
              <w:left w:val="nil"/>
              <w:bottom w:val="nil"/>
              <w:right w:val="nil"/>
            </w:tcBorders>
            <w:shd w:val="clear" w:color="000000" w:fill="F2F2F2"/>
            <w:vAlign w:val="center"/>
          </w:tcPr>
          <w:p w14:paraId="55B0D265" w14:textId="4C8DF5A4"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1,218,647,259.1</w:t>
            </w:r>
          </w:p>
        </w:tc>
        <w:tc>
          <w:tcPr>
            <w:tcW w:w="1961" w:type="dxa"/>
            <w:tcBorders>
              <w:top w:val="triple" w:sz="12" w:space="0" w:color="A6802D"/>
              <w:left w:val="nil"/>
              <w:bottom w:val="nil"/>
              <w:right w:val="nil"/>
            </w:tcBorders>
            <w:shd w:val="clear" w:color="000000" w:fill="F2F2F2"/>
            <w:vAlign w:val="center"/>
          </w:tcPr>
          <w:p w14:paraId="7B84512B" w14:textId="3C171214"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1,293,816,022.6</w:t>
            </w:r>
          </w:p>
        </w:tc>
      </w:tr>
      <w:tr w:rsidR="00B30C23" w:rsidRPr="00FC0913" w14:paraId="7BCBFD70" w14:textId="77777777" w:rsidTr="00ED10B2">
        <w:trPr>
          <w:trHeight w:val="283"/>
          <w:jc w:val="center"/>
        </w:trPr>
        <w:tc>
          <w:tcPr>
            <w:tcW w:w="5475" w:type="dxa"/>
            <w:tcBorders>
              <w:top w:val="nil"/>
              <w:left w:val="nil"/>
              <w:bottom w:val="nil"/>
              <w:right w:val="nil"/>
            </w:tcBorders>
            <w:shd w:val="clear" w:color="000000" w:fill="F2F2F2"/>
            <w:vAlign w:val="center"/>
          </w:tcPr>
          <w:p w14:paraId="6B491220" w14:textId="524AD410" w:rsidR="00B30C23" w:rsidRPr="006A5F0E" w:rsidRDefault="00B30C23" w:rsidP="00B30C23">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Prescripciones</w:t>
            </w:r>
          </w:p>
        </w:tc>
        <w:tc>
          <w:tcPr>
            <w:tcW w:w="1960" w:type="dxa"/>
            <w:tcBorders>
              <w:top w:val="nil"/>
              <w:left w:val="nil"/>
              <w:bottom w:val="nil"/>
              <w:right w:val="nil"/>
            </w:tcBorders>
            <w:shd w:val="clear" w:color="000000" w:fill="F2F2F2"/>
            <w:vAlign w:val="center"/>
          </w:tcPr>
          <w:p w14:paraId="6D49590C" w14:textId="6DFCD9A7"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150,952,856.1</w:t>
            </w:r>
          </w:p>
        </w:tc>
        <w:tc>
          <w:tcPr>
            <w:tcW w:w="1961" w:type="dxa"/>
            <w:tcBorders>
              <w:top w:val="nil"/>
              <w:left w:val="nil"/>
              <w:bottom w:val="nil"/>
              <w:right w:val="nil"/>
            </w:tcBorders>
            <w:shd w:val="clear" w:color="000000" w:fill="F2F2F2"/>
            <w:vAlign w:val="center"/>
          </w:tcPr>
          <w:p w14:paraId="31EA1247" w14:textId="0781BB18"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92,108,198.5</w:t>
            </w:r>
          </w:p>
        </w:tc>
      </w:tr>
      <w:tr w:rsidR="00B30C23" w:rsidRPr="00FC0913" w14:paraId="155321B5" w14:textId="77777777" w:rsidTr="00ED10B2">
        <w:trPr>
          <w:trHeight w:val="283"/>
          <w:jc w:val="center"/>
        </w:trPr>
        <w:tc>
          <w:tcPr>
            <w:tcW w:w="5475" w:type="dxa"/>
            <w:tcBorders>
              <w:top w:val="nil"/>
              <w:left w:val="nil"/>
              <w:bottom w:val="nil"/>
              <w:right w:val="nil"/>
            </w:tcBorders>
            <w:shd w:val="clear" w:color="000000" w:fill="F2F2F2"/>
            <w:vAlign w:val="center"/>
          </w:tcPr>
          <w:p w14:paraId="5BC6B51C" w14:textId="3D564C6C" w:rsidR="00B30C23" w:rsidRPr="006A5F0E" w:rsidRDefault="00B30C23" w:rsidP="00B30C23">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Revalorización, Crédito y Primas de Seguro</w:t>
            </w:r>
          </w:p>
        </w:tc>
        <w:tc>
          <w:tcPr>
            <w:tcW w:w="1960" w:type="dxa"/>
            <w:tcBorders>
              <w:top w:val="nil"/>
              <w:left w:val="nil"/>
              <w:bottom w:val="nil"/>
              <w:right w:val="nil"/>
            </w:tcBorders>
            <w:shd w:val="clear" w:color="000000" w:fill="F2F2F2"/>
            <w:vAlign w:val="center"/>
          </w:tcPr>
          <w:p w14:paraId="711EE416" w14:textId="0EFE7EA3"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53,146,140.6</w:t>
            </w:r>
          </w:p>
        </w:tc>
        <w:tc>
          <w:tcPr>
            <w:tcW w:w="1961" w:type="dxa"/>
            <w:tcBorders>
              <w:top w:val="nil"/>
              <w:left w:val="nil"/>
              <w:bottom w:val="nil"/>
              <w:right w:val="nil"/>
            </w:tcBorders>
            <w:shd w:val="clear" w:color="000000" w:fill="F2F2F2"/>
            <w:vAlign w:val="center"/>
          </w:tcPr>
          <w:p w14:paraId="492115EE" w14:textId="269C7611"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46,220,525.6</w:t>
            </w:r>
          </w:p>
        </w:tc>
      </w:tr>
      <w:tr w:rsidR="00B30C23" w:rsidRPr="00FC0913" w14:paraId="7EC904C0" w14:textId="77777777" w:rsidTr="00ED10B2">
        <w:trPr>
          <w:trHeight w:val="283"/>
          <w:jc w:val="center"/>
        </w:trPr>
        <w:tc>
          <w:tcPr>
            <w:tcW w:w="5475" w:type="dxa"/>
            <w:tcBorders>
              <w:top w:val="nil"/>
              <w:left w:val="nil"/>
              <w:bottom w:val="nil"/>
              <w:right w:val="nil"/>
            </w:tcBorders>
            <w:shd w:val="clear" w:color="000000" w:fill="F2F2F2"/>
            <w:vAlign w:val="center"/>
          </w:tcPr>
          <w:p w14:paraId="059A7BA4" w14:textId="32BEA47A" w:rsidR="00B30C23" w:rsidRDefault="00B30C23" w:rsidP="00B30C23">
            <w:pPr>
              <w:spacing w:after="0" w:line="240" w:lineRule="auto"/>
              <w:jc w:val="both"/>
              <w:rPr>
                <w:rFonts w:ascii="Noto Sans" w:hAnsi="Noto Sans" w:cs="Noto Sans"/>
                <w:color w:val="000000"/>
                <w:sz w:val="15"/>
                <w:szCs w:val="15"/>
              </w:rPr>
            </w:pPr>
            <w:r>
              <w:rPr>
                <w:rFonts w:ascii="Noto Sans" w:hAnsi="Noto Sans" w:cs="Noto Sans"/>
                <w:color w:val="000000"/>
                <w:sz w:val="15"/>
                <w:szCs w:val="15"/>
              </w:rPr>
              <w:t>Fondos y Fideicomisos</w:t>
            </w:r>
          </w:p>
        </w:tc>
        <w:tc>
          <w:tcPr>
            <w:tcW w:w="1960" w:type="dxa"/>
            <w:tcBorders>
              <w:top w:val="nil"/>
              <w:left w:val="nil"/>
              <w:bottom w:val="nil"/>
              <w:right w:val="nil"/>
            </w:tcBorders>
            <w:shd w:val="clear" w:color="000000" w:fill="F2F2F2"/>
            <w:vAlign w:val="center"/>
          </w:tcPr>
          <w:p w14:paraId="1285F156" w14:textId="15758E00" w:rsidR="00B30C23" w:rsidRDefault="00B30C23" w:rsidP="00B30C23">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40,481,004.3</w:t>
            </w:r>
          </w:p>
        </w:tc>
        <w:tc>
          <w:tcPr>
            <w:tcW w:w="1961" w:type="dxa"/>
            <w:tcBorders>
              <w:top w:val="nil"/>
              <w:left w:val="nil"/>
              <w:bottom w:val="nil"/>
              <w:right w:val="nil"/>
            </w:tcBorders>
            <w:shd w:val="clear" w:color="000000" w:fill="F2F2F2"/>
            <w:vAlign w:val="center"/>
          </w:tcPr>
          <w:p w14:paraId="378830E8" w14:textId="6867A85C" w:rsidR="00B30C23" w:rsidRDefault="00B30C23" w:rsidP="00B30C23">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36,300,757.2</w:t>
            </w:r>
          </w:p>
        </w:tc>
      </w:tr>
      <w:tr w:rsidR="00B30C23" w:rsidRPr="00FC0913" w14:paraId="0FF06AA7" w14:textId="77777777" w:rsidTr="00ED10B2">
        <w:trPr>
          <w:trHeight w:val="283"/>
          <w:jc w:val="center"/>
        </w:trPr>
        <w:tc>
          <w:tcPr>
            <w:tcW w:w="5475" w:type="dxa"/>
            <w:tcBorders>
              <w:top w:val="nil"/>
              <w:left w:val="nil"/>
              <w:bottom w:val="nil"/>
              <w:right w:val="nil"/>
            </w:tcBorders>
            <w:shd w:val="clear" w:color="000000" w:fill="F2F2F2"/>
            <w:vAlign w:val="center"/>
          </w:tcPr>
          <w:p w14:paraId="36AF83EB" w14:textId="56B89C9C" w:rsidR="00B30C23" w:rsidRDefault="00B30C23" w:rsidP="00B30C23">
            <w:pPr>
              <w:spacing w:after="0" w:line="240" w:lineRule="auto"/>
              <w:jc w:val="both"/>
              <w:rPr>
                <w:rFonts w:ascii="Noto Sans" w:hAnsi="Noto Sans" w:cs="Noto Sans"/>
                <w:color w:val="000000"/>
                <w:sz w:val="15"/>
                <w:szCs w:val="15"/>
              </w:rPr>
            </w:pPr>
            <w:r>
              <w:rPr>
                <w:rFonts w:ascii="Noto Sans" w:hAnsi="Noto Sans" w:cs="Noto Sans"/>
                <w:color w:val="000000"/>
                <w:sz w:val="15"/>
                <w:szCs w:val="15"/>
              </w:rPr>
              <w:t xml:space="preserve">Diferencias por tipo de Cambio a Favor en Efectivo y Equivalentes </w:t>
            </w:r>
            <w:r>
              <w:rPr>
                <w:rFonts w:ascii="Noto Sans" w:hAnsi="Noto Sans" w:cs="Noto Sans"/>
                <w:b/>
                <w:bCs/>
                <w:color w:val="000000"/>
                <w:sz w:val="15"/>
                <w:szCs w:val="15"/>
              </w:rPr>
              <w:t>(1.3.b.1)</w:t>
            </w:r>
          </w:p>
        </w:tc>
        <w:tc>
          <w:tcPr>
            <w:tcW w:w="1960" w:type="dxa"/>
            <w:tcBorders>
              <w:top w:val="nil"/>
              <w:left w:val="nil"/>
              <w:bottom w:val="nil"/>
              <w:right w:val="nil"/>
            </w:tcBorders>
            <w:shd w:val="clear" w:color="000000" w:fill="F2F2F2"/>
            <w:vAlign w:val="center"/>
          </w:tcPr>
          <w:p w14:paraId="0664AA03" w14:textId="4177CE78" w:rsidR="00B30C23" w:rsidRDefault="00B30C23" w:rsidP="00B30C23">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7,586,174.7</w:t>
            </w:r>
          </w:p>
        </w:tc>
        <w:tc>
          <w:tcPr>
            <w:tcW w:w="1961" w:type="dxa"/>
            <w:tcBorders>
              <w:top w:val="nil"/>
              <w:left w:val="nil"/>
              <w:bottom w:val="nil"/>
              <w:right w:val="nil"/>
            </w:tcBorders>
            <w:shd w:val="clear" w:color="000000" w:fill="F2F2F2"/>
            <w:vAlign w:val="center"/>
          </w:tcPr>
          <w:p w14:paraId="5EDAEE2F" w14:textId="129D2F73" w:rsidR="00B30C23" w:rsidRDefault="00B30C23" w:rsidP="00B30C23">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2,505,304,904.0</w:t>
            </w:r>
          </w:p>
        </w:tc>
      </w:tr>
      <w:tr w:rsidR="00B30C23" w:rsidRPr="00FC0913" w14:paraId="472F5BD9" w14:textId="77777777" w:rsidTr="00ED10B2">
        <w:trPr>
          <w:trHeight w:val="283"/>
          <w:jc w:val="center"/>
        </w:trPr>
        <w:tc>
          <w:tcPr>
            <w:tcW w:w="5475" w:type="dxa"/>
            <w:tcBorders>
              <w:top w:val="nil"/>
              <w:left w:val="nil"/>
              <w:bottom w:val="nil"/>
              <w:right w:val="nil"/>
            </w:tcBorders>
            <w:shd w:val="clear" w:color="000000" w:fill="F2F2F2"/>
            <w:vAlign w:val="center"/>
          </w:tcPr>
          <w:p w14:paraId="3140D2DA" w14:textId="2FCD94B3" w:rsidR="00B30C23" w:rsidRPr="006A5F0E" w:rsidRDefault="00B30C23" w:rsidP="00B30C23">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Penas Defin</w:t>
            </w:r>
            <w:r w:rsidR="007603EE">
              <w:rPr>
                <w:rFonts w:ascii="Noto Sans" w:hAnsi="Noto Sans" w:cs="Noto Sans"/>
                <w:color w:val="000000"/>
                <w:sz w:val="15"/>
                <w:szCs w:val="15"/>
              </w:rPr>
              <w:t>itivas</w:t>
            </w:r>
            <w:r>
              <w:rPr>
                <w:rFonts w:ascii="Noto Sans" w:hAnsi="Noto Sans" w:cs="Noto Sans"/>
                <w:color w:val="000000"/>
                <w:sz w:val="15"/>
                <w:szCs w:val="15"/>
              </w:rPr>
              <w:t xml:space="preserve"> </w:t>
            </w:r>
            <w:r w:rsidR="007603EE">
              <w:rPr>
                <w:rFonts w:ascii="Noto Sans" w:hAnsi="Noto Sans" w:cs="Noto Sans"/>
                <w:color w:val="000000"/>
                <w:sz w:val="15"/>
                <w:szCs w:val="15"/>
              </w:rPr>
              <w:t>por</w:t>
            </w:r>
            <w:r>
              <w:rPr>
                <w:rFonts w:ascii="Noto Sans" w:hAnsi="Noto Sans" w:cs="Noto Sans"/>
                <w:color w:val="000000"/>
                <w:sz w:val="15"/>
                <w:szCs w:val="15"/>
              </w:rPr>
              <w:t xml:space="preserve"> atraso o Inc</w:t>
            </w:r>
            <w:r w:rsidR="007603EE">
              <w:rPr>
                <w:rFonts w:ascii="Noto Sans" w:hAnsi="Noto Sans" w:cs="Noto Sans"/>
                <w:color w:val="000000"/>
                <w:sz w:val="15"/>
                <w:szCs w:val="15"/>
              </w:rPr>
              <w:t>umplimiento de</w:t>
            </w:r>
            <w:r>
              <w:rPr>
                <w:rFonts w:ascii="Noto Sans" w:hAnsi="Noto Sans" w:cs="Noto Sans"/>
                <w:color w:val="000000"/>
                <w:sz w:val="15"/>
                <w:szCs w:val="15"/>
              </w:rPr>
              <w:t xml:space="preserve"> Obra</w:t>
            </w:r>
          </w:p>
        </w:tc>
        <w:tc>
          <w:tcPr>
            <w:tcW w:w="1960" w:type="dxa"/>
            <w:tcBorders>
              <w:top w:val="nil"/>
              <w:left w:val="nil"/>
              <w:bottom w:val="nil"/>
              <w:right w:val="nil"/>
            </w:tcBorders>
            <w:shd w:val="clear" w:color="000000" w:fill="F2F2F2"/>
            <w:vAlign w:val="center"/>
          </w:tcPr>
          <w:p w14:paraId="1EE5D495" w14:textId="241F6029"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124,735.9</w:t>
            </w:r>
          </w:p>
        </w:tc>
        <w:tc>
          <w:tcPr>
            <w:tcW w:w="1961" w:type="dxa"/>
            <w:tcBorders>
              <w:top w:val="nil"/>
              <w:left w:val="nil"/>
              <w:bottom w:val="nil"/>
              <w:right w:val="nil"/>
            </w:tcBorders>
            <w:shd w:val="clear" w:color="000000" w:fill="F2F2F2"/>
            <w:vAlign w:val="center"/>
          </w:tcPr>
          <w:p w14:paraId="7219145E" w14:textId="6848AF59"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r>
      <w:tr w:rsidR="00B30C23" w:rsidRPr="00FC0913" w14:paraId="3B7A2B93" w14:textId="77777777" w:rsidTr="00ED10B2">
        <w:trPr>
          <w:trHeight w:val="283"/>
          <w:jc w:val="center"/>
        </w:trPr>
        <w:tc>
          <w:tcPr>
            <w:tcW w:w="5475" w:type="dxa"/>
            <w:tcBorders>
              <w:top w:val="nil"/>
              <w:left w:val="nil"/>
              <w:bottom w:val="nil"/>
              <w:right w:val="nil"/>
            </w:tcBorders>
            <w:shd w:val="clear" w:color="000000" w:fill="F2F2F2"/>
            <w:vAlign w:val="center"/>
          </w:tcPr>
          <w:p w14:paraId="7EE37DDA" w14:textId="1BCCA458" w:rsidR="00B30C23" w:rsidRPr="006A5F0E" w:rsidRDefault="00B30C23" w:rsidP="00B30C23">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Bonificaciones y Descuentos Obtenidos</w:t>
            </w:r>
          </w:p>
        </w:tc>
        <w:tc>
          <w:tcPr>
            <w:tcW w:w="1960" w:type="dxa"/>
            <w:tcBorders>
              <w:top w:val="nil"/>
              <w:left w:val="nil"/>
              <w:bottom w:val="nil"/>
              <w:right w:val="nil"/>
            </w:tcBorders>
            <w:shd w:val="clear" w:color="000000" w:fill="F2F2F2"/>
            <w:vAlign w:val="center"/>
          </w:tcPr>
          <w:p w14:paraId="78601538" w14:textId="7484E36D"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81.0</w:t>
            </w:r>
          </w:p>
        </w:tc>
        <w:tc>
          <w:tcPr>
            <w:tcW w:w="1961" w:type="dxa"/>
            <w:tcBorders>
              <w:top w:val="nil"/>
              <w:left w:val="nil"/>
              <w:bottom w:val="nil"/>
              <w:right w:val="nil"/>
            </w:tcBorders>
            <w:shd w:val="clear" w:color="000000" w:fill="F2F2F2"/>
            <w:vAlign w:val="center"/>
          </w:tcPr>
          <w:p w14:paraId="191AFD75" w14:textId="42B5395C" w:rsidR="00B30C23" w:rsidRPr="006A5F0E" w:rsidRDefault="00B30C23" w:rsidP="00B30C2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r>
      <w:tr w:rsidR="00B30C23" w:rsidRPr="005946C5" w14:paraId="0541CC7E" w14:textId="77777777" w:rsidTr="00ED10B2">
        <w:trPr>
          <w:trHeight w:val="226"/>
          <w:jc w:val="center"/>
        </w:trPr>
        <w:tc>
          <w:tcPr>
            <w:tcW w:w="5475" w:type="dxa"/>
            <w:tcBorders>
              <w:top w:val="nil"/>
              <w:left w:val="nil"/>
              <w:bottom w:val="single" w:sz="12" w:space="0" w:color="A6802D"/>
              <w:right w:val="nil"/>
            </w:tcBorders>
            <w:shd w:val="clear" w:color="000000" w:fill="F2F2F2"/>
            <w:vAlign w:val="center"/>
          </w:tcPr>
          <w:p w14:paraId="61598524" w14:textId="292CB593" w:rsidR="00B30C23" w:rsidRPr="006A5F0E" w:rsidRDefault="00B30C23" w:rsidP="00B30C23">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Ingresos y Beneficios Varios</w:t>
            </w:r>
          </w:p>
        </w:tc>
        <w:tc>
          <w:tcPr>
            <w:tcW w:w="1960" w:type="dxa"/>
            <w:tcBorders>
              <w:top w:val="nil"/>
              <w:left w:val="nil"/>
              <w:bottom w:val="single" w:sz="12" w:space="0" w:color="A6802D"/>
              <w:right w:val="nil"/>
            </w:tcBorders>
            <w:shd w:val="clear" w:color="000000" w:fill="F2F2F2"/>
            <w:vAlign w:val="center"/>
          </w:tcPr>
          <w:p w14:paraId="4255A25A" w14:textId="1AB96F7D" w:rsidR="00B30C23" w:rsidRPr="006A5F0E" w:rsidRDefault="00B30C23" w:rsidP="00B30C23">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1,470,938,251.7</w:t>
            </w:r>
          </w:p>
        </w:tc>
        <w:tc>
          <w:tcPr>
            <w:tcW w:w="1961" w:type="dxa"/>
            <w:tcBorders>
              <w:top w:val="nil"/>
              <w:left w:val="nil"/>
              <w:bottom w:val="single" w:sz="12" w:space="0" w:color="A6802D"/>
              <w:right w:val="nil"/>
            </w:tcBorders>
            <w:shd w:val="clear" w:color="000000" w:fill="F2F2F2"/>
            <w:vAlign w:val="center"/>
          </w:tcPr>
          <w:p w14:paraId="6A421C3A" w14:textId="54C94401" w:rsidR="00B30C23" w:rsidRPr="006A5F0E" w:rsidRDefault="00B30C23" w:rsidP="00B30C23">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3,973,750,407.9</w:t>
            </w:r>
          </w:p>
        </w:tc>
      </w:tr>
      <w:tr w:rsidR="006A5F0E" w:rsidRPr="00274555" w14:paraId="7A24AC30" w14:textId="77777777" w:rsidTr="00ED10B2">
        <w:trPr>
          <w:trHeight w:val="226"/>
          <w:jc w:val="center"/>
        </w:trPr>
        <w:tc>
          <w:tcPr>
            <w:tcW w:w="5475" w:type="dxa"/>
            <w:tcBorders>
              <w:top w:val="single" w:sz="12" w:space="0" w:color="A6802D"/>
              <w:left w:val="nil"/>
              <w:right w:val="nil"/>
            </w:tcBorders>
            <w:vAlign w:val="center"/>
          </w:tcPr>
          <w:p w14:paraId="484EB512"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E854F5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2B41108D"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BEEABC4" w14:textId="77777777" w:rsidR="006A5F0E" w:rsidRDefault="006A5F0E" w:rsidP="006A5F0E">
      <w:pPr>
        <w:pStyle w:val="SUBTITULO2"/>
        <w:jc w:val="both"/>
        <w:rPr>
          <w:rFonts w:ascii="Noto Sans" w:hAnsi="Noto Sans" w:cs="Noto Sans"/>
          <w:b w:val="0"/>
          <w:caps w:val="0"/>
          <w:sz w:val="18"/>
          <w:lang w:val="es-ES"/>
        </w:rPr>
      </w:pPr>
    </w:p>
    <w:p w14:paraId="3E4061A2" w14:textId="63AB05E5" w:rsidR="006A5F0E" w:rsidRPr="0039034B" w:rsidRDefault="006A5F0E" w:rsidP="00D461EC">
      <w:pPr>
        <w:pStyle w:val="SUBTITULO2"/>
        <w:numPr>
          <w:ilvl w:val="0"/>
          <w:numId w:val="21"/>
        </w:numPr>
        <w:ind w:left="998" w:hanging="284"/>
        <w:jc w:val="both"/>
        <w:rPr>
          <w:rFonts w:ascii="Noto Sans" w:hAnsi="Noto Sans" w:cs="Noto Sans"/>
          <w:b w:val="0"/>
          <w:caps w:val="0"/>
          <w:sz w:val="18"/>
          <w:lang w:val="es-ES"/>
        </w:rPr>
      </w:pPr>
      <w:r>
        <w:rPr>
          <w:rFonts w:ascii="Noto Sans" w:hAnsi="Noto Sans" w:cs="Noto Sans"/>
          <w:b w:val="0"/>
          <w:caps w:val="0"/>
          <w:sz w:val="18"/>
          <w:lang w:val="es-ES"/>
        </w:rPr>
        <w:t>1</w:t>
      </w:r>
      <w:r w:rsidRPr="0039034B">
        <w:rPr>
          <w:rFonts w:ascii="Noto Sans" w:hAnsi="Noto Sans" w:cs="Noto Sans"/>
          <w:b w:val="0"/>
          <w:caps w:val="0"/>
          <w:sz w:val="18"/>
          <w:lang w:val="es-ES"/>
        </w:rPr>
        <w:t>.3.</w:t>
      </w:r>
      <w:r w:rsidR="00B32C1E">
        <w:rPr>
          <w:rFonts w:ascii="Noto Sans" w:hAnsi="Noto Sans" w:cs="Noto Sans"/>
          <w:b w:val="0"/>
          <w:caps w:val="0"/>
          <w:sz w:val="18"/>
          <w:lang w:val="es-ES"/>
        </w:rPr>
        <w:t>c</w:t>
      </w:r>
      <w:r w:rsidRPr="0039034B">
        <w:rPr>
          <w:rFonts w:ascii="Noto Sans" w:hAnsi="Noto Sans" w:cs="Noto Sans"/>
          <w:b w:val="0"/>
          <w:caps w:val="0"/>
          <w:sz w:val="18"/>
          <w:lang w:val="es-ES"/>
        </w:rPr>
        <w:t>.1)</w:t>
      </w:r>
      <w:r w:rsidRPr="0039034B">
        <w:rPr>
          <w:rFonts w:ascii="Noto Sans" w:hAnsi="Noto Sans" w:cs="Noto Sans"/>
          <w:caps w:val="0"/>
          <w:sz w:val="18"/>
          <w:lang w:val="es-ES"/>
        </w:rPr>
        <w:t xml:space="preserve"> </w:t>
      </w:r>
      <w:r w:rsidRPr="0039034B">
        <w:rPr>
          <w:rFonts w:ascii="Noto Sans" w:hAnsi="Noto Sans" w:cs="Noto Sans"/>
          <w:b w:val="0"/>
          <w:caps w:val="0"/>
          <w:sz w:val="18"/>
          <w:lang w:val="es-ES"/>
        </w:rPr>
        <w:t>Saldo derivado de las inversiones en moneda extranjera autorizadas por la Comisión de Inversiones Financieras, en cumplimiento a las “Políticas y Directrices para la Inversión de las Reservas Operativas y la Reserva de Operación para Contingencias y Financiamiento”.</w:t>
      </w:r>
    </w:p>
    <w:p w14:paraId="7CB6017C" w14:textId="77777777" w:rsidR="00095D9E" w:rsidRDefault="00095D9E" w:rsidP="006A5F0E">
      <w:pPr>
        <w:spacing w:after="120" w:line="250" w:lineRule="exact"/>
        <w:rPr>
          <w:rFonts w:ascii="Noto Sans" w:hAnsi="Noto Sans" w:cs="Noto Sans"/>
          <w:sz w:val="18"/>
          <w:szCs w:val="18"/>
        </w:rPr>
      </w:pPr>
    </w:p>
    <w:p w14:paraId="733268BC" w14:textId="77777777" w:rsidR="00B87C93" w:rsidRDefault="00B87C93" w:rsidP="006A5F0E">
      <w:pPr>
        <w:spacing w:after="120" w:line="250" w:lineRule="exact"/>
        <w:rPr>
          <w:rFonts w:ascii="Noto Sans" w:hAnsi="Noto Sans" w:cs="Noto Sans"/>
          <w:sz w:val="18"/>
          <w:szCs w:val="18"/>
        </w:rPr>
      </w:pPr>
    </w:p>
    <w:p w14:paraId="535DEDD6" w14:textId="77777777" w:rsidR="00B87C93" w:rsidRDefault="00B87C93" w:rsidP="006A5F0E">
      <w:pPr>
        <w:spacing w:after="120" w:line="250" w:lineRule="exact"/>
        <w:rPr>
          <w:rFonts w:ascii="Noto Sans" w:hAnsi="Noto Sans" w:cs="Noto Sans"/>
          <w:sz w:val="18"/>
          <w:szCs w:val="18"/>
        </w:rPr>
      </w:pPr>
    </w:p>
    <w:p w14:paraId="441D24AA" w14:textId="77777777" w:rsidR="00B87C93" w:rsidRDefault="00B87C93" w:rsidP="006A5F0E">
      <w:pPr>
        <w:spacing w:after="120" w:line="250" w:lineRule="exact"/>
        <w:rPr>
          <w:rFonts w:ascii="Noto Sans" w:hAnsi="Noto Sans" w:cs="Noto Sans"/>
          <w:sz w:val="18"/>
          <w:szCs w:val="18"/>
        </w:rPr>
      </w:pPr>
    </w:p>
    <w:p w14:paraId="02E8697B" w14:textId="77777777" w:rsidR="00B87C93" w:rsidRDefault="00B87C93" w:rsidP="006A5F0E">
      <w:pPr>
        <w:spacing w:after="120" w:line="250" w:lineRule="exact"/>
        <w:rPr>
          <w:rFonts w:ascii="Noto Sans" w:hAnsi="Noto Sans" w:cs="Noto Sans"/>
          <w:sz w:val="18"/>
          <w:szCs w:val="18"/>
        </w:rPr>
      </w:pPr>
    </w:p>
    <w:p w14:paraId="11CBFCB3" w14:textId="77777777" w:rsidR="006A5F0E" w:rsidRPr="00601CD5" w:rsidRDefault="006A5F0E" w:rsidP="006A5F0E">
      <w:pPr>
        <w:pStyle w:val="TEXTONORMAL"/>
        <w:numPr>
          <w:ilvl w:val="0"/>
          <w:numId w:val="9"/>
        </w:numPr>
        <w:spacing w:before="240"/>
        <w:ind w:left="0" w:firstLine="0"/>
        <w:rPr>
          <w:b/>
          <w:sz w:val="22"/>
        </w:rPr>
      </w:pPr>
      <w:r>
        <w:rPr>
          <w:b/>
          <w:sz w:val="22"/>
        </w:rPr>
        <w:lastRenderedPageBreak/>
        <w:t>GASTOS Y OTRA</w:t>
      </w:r>
      <w:r w:rsidRPr="00894562">
        <w:rPr>
          <w:b/>
          <w:sz w:val="22"/>
        </w:rPr>
        <w:t xml:space="preserve">S </w:t>
      </w:r>
      <w:r>
        <w:rPr>
          <w:b/>
          <w:sz w:val="22"/>
        </w:rPr>
        <w:t>PÉRDIDA</w:t>
      </w:r>
      <w:r w:rsidRPr="00894562">
        <w:rPr>
          <w:b/>
          <w:sz w:val="22"/>
        </w:rPr>
        <w:t xml:space="preserve">S </w:t>
      </w:r>
    </w:p>
    <w:p w14:paraId="59AA259C" w14:textId="77777777" w:rsidR="006A5F0E" w:rsidRDefault="006A5F0E" w:rsidP="006A5F0E">
      <w:pPr>
        <w:pStyle w:val="Prrafodelista"/>
        <w:spacing w:after="120" w:line="250" w:lineRule="exact"/>
        <w:ind w:left="357"/>
        <w:rPr>
          <w:rFonts w:ascii="Noto Sans" w:hAnsi="Noto Sans" w:cs="Noto Sans"/>
          <w:sz w:val="18"/>
          <w:szCs w:val="18"/>
        </w:rPr>
      </w:pPr>
    </w:p>
    <w:p w14:paraId="6F71AF8E" w14:textId="77777777" w:rsidR="006A5F0E" w:rsidRPr="00B40AB0" w:rsidRDefault="006A5F0E" w:rsidP="006A5F0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t>2.1 Servicios Personales</w:t>
      </w:r>
    </w:p>
    <w:p w14:paraId="0A4B43D4" w14:textId="5D29420A" w:rsidR="00B40AB0" w:rsidRDefault="00FE0B69" w:rsidP="006A5F0E">
      <w:pPr>
        <w:pStyle w:val="TEXTONORMAL"/>
      </w:pPr>
      <w:r>
        <w:rPr>
          <w:rFonts w:cs="Noto Sans"/>
          <w:szCs w:val="18"/>
        </w:rPr>
        <w:t>A</w:t>
      </w:r>
      <w:r w:rsidRPr="000F4D76">
        <w:rPr>
          <w:rFonts w:cs="Noto Sans"/>
          <w:szCs w:val="18"/>
        </w:rPr>
        <w:t xml:space="preserve">l </w:t>
      </w:r>
      <w:r w:rsidR="00CC0C6A" w:rsidRPr="002B3F78">
        <w:rPr>
          <w:rFonts w:cs="Noto Sans"/>
          <w:szCs w:val="18"/>
        </w:rPr>
        <w:t>3</w:t>
      </w:r>
      <w:r w:rsidR="00CC0C6A">
        <w:rPr>
          <w:rFonts w:cs="Noto Sans"/>
          <w:szCs w:val="18"/>
        </w:rPr>
        <w:t>0</w:t>
      </w:r>
      <w:r w:rsidR="00CC0C6A" w:rsidRPr="002B3F78">
        <w:rPr>
          <w:rFonts w:cs="Noto Sans"/>
          <w:szCs w:val="18"/>
        </w:rPr>
        <w:t xml:space="preserve"> de </w:t>
      </w:r>
      <w:r w:rsidR="00CC0C6A">
        <w:rPr>
          <w:rFonts w:cs="Noto Sans"/>
          <w:szCs w:val="18"/>
        </w:rPr>
        <w:t>junio</w:t>
      </w:r>
      <w:r w:rsidR="00CC0C6A" w:rsidRPr="002B3F78">
        <w:rPr>
          <w:rFonts w:cs="Noto Sans"/>
          <w:szCs w:val="18"/>
        </w:rPr>
        <w:t xml:space="preserve"> </w:t>
      </w:r>
      <w:r w:rsidRPr="000F4D76">
        <w:rPr>
          <w:rFonts w:cs="Noto Sans"/>
          <w:szCs w:val="18"/>
        </w:rPr>
        <w:t>de 2025 y 2024</w:t>
      </w:r>
      <w:r w:rsidR="006A5F0E">
        <w:t xml:space="preserve">, el rubro de Servicios Personales está integrado </w:t>
      </w:r>
      <w:r w:rsidR="003A52B3">
        <w:t>como se muestra a continuación</w:t>
      </w:r>
    </w:p>
    <w:p w14:paraId="6B7BC5AD" w14:textId="77777777" w:rsidR="00BF4D95" w:rsidRDefault="00BF4D95"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0D6E7820"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475D83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37F35772"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4DC7BD77"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03109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A9FFD5F" w14:textId="6F79D5E4"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6C7E5CD" w14:textId="32B08395"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EF0991" w:rsidRPr="005946C5" w14:paraId="0CFE6B3C" w14:textId="77777777" w:rsidTr="00B40AB0">
        <w:trPr>
          <w:trHeight w:val="255"/>
          <w:jc w:val="center"/>
        </w:trPr>
        <w:tc>
          <w:tcPr>
            <w:tcW w:w="5475" w:type="dxa"/>
            <w:tcBorders>
              <w:top w:val="triple" w:sz="12" w:space="0" w:color="A6802D"/>
              <w:left w:val="nil"/>
              <w:bottom w:val="nil"/>
              <w:right w:val="nil"/>
            </w:tcBorders>
            <w:shd w:val="clear" w:color="000000" w:fill="F2F2F2"/>
            <w:vAlign w:val="center"/>
          </w:tcPr>
          <w:p w14:paraId="02BC6FD3" w14:textId="56036384" w:rsidR="00EF0991" w:rsidRPr="006A5F0E" w:rsidRDefault="00EF0991" w:rsidP="00EF099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Otras Prestaciones Sociales y Económicas</w:t>
            </w:r>
          </w:p>
        </w:tc>
        <w:tc>
          <w:tcPr>
            <w:tcW w:w="1960" w:type="dxa"/>
            <w:tcBorders>
              <w:top w:val="triple" w:sz="12" w:space="0" w:color="A6802D"/>
              <w:left w:val="nil"/>
              <w:bottom w:val="nil"/>
              <w:right w:val="nil"/>
            </w:tcBorders>
            <w:shd w:val="clear" w:color="000000" w:fill="F2F2F2"/>
            <w:vAlign w:val="center"/>
          </w:tcPr>
          <w:p w14:paraId="121AB338" w14:textId="086E4E10"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76,875,119,355.6</w:t>
            </w:r>
          </w:p>
        </w:tc>
        <w:tc>
          <w:tcPr>
            <w:tcW w:w="1961" w:type="dxa"/>
            <w:tcBorders>
              <w:top w:val="triple" w:sz="12" w:space="0" w:color="A6802D"/>
              <w:left w:val="nil"/>
              <w:bottom w:val="nil"/>
              <w:right w:val="nil"/>
            </w:tcBorders>
            <w:shd w:val="clear" w:color="000000" w:fill="F2F2F2"/>
            <w:vAlign w:val="center"/>
          </w:tcPr>
          <w:p w14:paraId="255A1C5A" w14:textId="6C086C3C"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68,936,838,486.2</w:t>
            </w:r>
          </w:p>
        </w:tc>
      </w:tr>
      <w:tr w:rsidR="00EF0991" w:rsidRPr="00FC0913" w14:paraId="02DC5BCB" w14:textId="77777777" w:rsidTr="00B40AB0">
        <w:trPr>
          <w:trHeight w:val="255"/>
          <w:jc w:val="center"/>
        </w:trPr>
        <w:tc>
          <w:tcPr>
            <w:tcW w:w="5475" w:type="dxa"/>
            <w:tcBorders>
              <w:top w:val="nil"/>
              <w:left w:val="nil"/>
              <w:bottom w:val="nil"/>
              <w:right w:val="nil"/>
            </w:tcBorders>
            <w:shd w:val="clear" w:color="000000" w:fill="F2F2F2"/>
            <w:vAlign w:val="center"/>
          </w:tcPr>
          <w:p w14:paraId="17649BAA" w14:textId="36043A64" w:rsidR="00EF0991" w:rsidRPr="006A5F0E" w:rsidRDefault="00EF0991" w:rsidP="00EF099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Seguridad Social</w:t>
            </w:r>
          </w:p>
        </w:tc>
        <w:tc>
          <w:tcPr>
            <w:tcW w:w="1960" w:type="dxa"/>
            <w:tcBorders>
              <w:top w:val="nil"/>
              <w:left w:val="nil"/>
              <w:bottom w:val="nil"/>
              <w:right w:val="nil"/>
            </w:tcBorders>
            <w:shd w:val="clear" w:color="000000" w:fill="F2F2F2"/>
            <w:vAlign w:val="center"/>
          </w:tcPr>
          <w:p w14:paraId="09B48B73" w14:textId="5333CDE3"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23,136,406,650.0</w:t>
            </w:r>
          </w:p>
        </w:tc>
        <w:tc>
          <w:tcPr>
            <w:tcW w:w="1961" w:type="dxa"/>
            <w:tcBorders>
              <w:top w:val="nil"/>
              <w:left w:val="nil"/>
              <w:bottom w:val="nil"/>
              <w:right w:val="nil"/>
            </w:tcBorders>
            <w:shd w:val="clear" w:color="000000" w:fill="F2F2F2"/>
            <w:vAlign w:val="center"/>
          </w:tcPr>
          <w:p w14:paraId="6E566137" w14:textId="77D29D94"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20,547,549,023.3</w:t>
            </w:r>
          </w:p>
        </w:tc>
      </w:tr>
      <w:tr w:rsidR="00EF0991" w:rsidRPr="00FC0913" w14:paraId="3B76C1C2" w14:textId="77777777" w:rsidTr="00B40AB0">
        <w:trPr>
          <w:trHeight w:val="255"/>
          <w:jc w:val="center"/>
        </w:trPr>
        <w:tc>
          <w:tcPr>
            <w:tcW w:w="5475" w:type="dxa"/>
            <w:tcBorders>
              <w:top w:val="nil"/>
              <w:left w:val="nil"/>
              <w:bottom w:val="nil"/>
              <w:right w:val="nil"/>
            </w:tcBorders>
            <w:shd w:val="clear" w:color="000000" w:fill="F2F2F2"/>
            <w:vAlign w:val="center"/>
          </w:tcPr>
          <w:p w14:paraId="5ABA21EF" w14:textId="616E49F1" w:rsidR="00EF0991" w:rsidRPr="006A5F0E" w:rsidRDefault="00EF0991" w:rsidP="00EF099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Remuneraciones Adicionales y Especiales</w:t>
            </w:r>
          </w:p>
        </w:tc>
        <w:tc>
          <w:tcPr>
            <w:tcW w:w="1960" w:type="dxa"/>
            <w:tcBorders>
              <w:top w:val="nil"/>
              <w:left w:val="nil"/>
              <w:bottom w:val="nil"/>
              <w:right w:val="nil"/>
            </w:tcBorders>
            <w:shd w:val="clear" w:color="000000" w:fill="F2F2F2"/>
            <w:vAlign w:val="center"/>
          </w:tcPr>
          <w:p w14:paraId="31B4A798" w14:textId="64440165"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22,688,317,001.5</w:t>
            </w:r>
          </w:p>
        </w:tc>
        <w:tc>
          <w:tcPr>
            <w:tcW w:w="1961" w:type="dxa"/>
            <w:tcBorders>
              <w:top w:val="nil"/>
              <w:left w:val="nil"/>
              <w:bottom w:val="nil"/>
              <w:right w:val="nil"/>
            </w:tcBorders>
            <w:shd w:val="clear" w:color="000000" w:fill="F2F2F2"/>
            <w:vAlign w:val="center"/>
          </w:tcPr>
          <w:p w14:paraId="7A8E2D8F" w14:textId="4AB5927B"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20,768,297,455.1</w:t>
            </w:r>
          </w:p>
        </w:tc>
      </w:tr>
      <w:tr w:rsidR="00EF0991" w:rsidRPr="00FC0913" w14:paraId="3CDD542C" w14:textId="77777777" w:rsidTr="00B40AB0">
        <w:trPr>
          <w:trHeight w:val="255"/>
          <w:jc w:val="center"/>
        </w:trPr>
        <w:tc>
          <w:tcPr>
            <w:tcW w:w="5475" w:type="dxa"/>
            <w:tcBorders>
              <w:top w:val="nil"/>
              <w:left w:val="nil"/>
              <w:bottom w:val="nil"/>
              <w:right w:val="nil"/>
            </w:tcBorders>
            <w:shd w:val="clear" w:color="000000" w:fill="F2F2F2"/>
            <w:vAlign w:val="center"/>
          </w:tcPr>
          <w:p w14:paraId="55F3FE3A" w14:textId="259E1C63" w:rsidR="00EF0991" w:rsidRPr="006A5F0E" w:rsidRDefault="00EF0991" w:rsidP="00EF099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Remuneraciones al Personal de Carácter Permanente</w:t>
            </w:r>
          </w:p>
        </w:tc>
        <w:tc>
          <w:tcPr>
            <w:tcW w:w="1960" w:type="dxa"/>
            <w:tcBorders>
              <w:top w:val="nil"/>
              <w:left w:val="nil"/>
              <w:bottom w:val="nil"/>
              <w:right w:val="nil"/>
            </w:tcBorders>
            <w:shd w:val="clear" w:color="000000" w:fill="F2F2F2"/>
            <w:vAlign w:val="center"/>
          </w:tcPr>
          <w:p w14:paraId="0C6CCD3E" w14:textId="3DCF8D1E"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21,971,060,704.4</w:t>
            </w:r>
          </w:p>
        </w:tc>
        <w:tc>
          <w:tcPr>
            <w:tcW w:w="1961" w:type="dxa"/>
            <w:tcBorders>
              <w:top w:val="nil"/>
              <w:left w:val="nil"/>
              <w:bottom w:val="nil"/>
              <w:right w:val="nil"/>
            </w:tcBorders>
            <w:shd w:val="clear" w:color="000000" w:fill="F2F2F2"/>
            <w:vAlign w:val="center"/>
          </w:tcPr>
          <w:p w14:paraId="450A72A7" w14:textId="7B525D48"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20,491,141,069.3</w:t>
            </w:r>
          </w:p>
        </w:tc>
      </w:tr>
      <w:tr w:rsidR="00EF0991" w:rsidRPr="00FC0913" w14:paraId="7244F76E" w14:textId="77777777" w:rsidTr="00B40AB0">
        <w:trPr>
          <w:trHeight w:val="255"/>
          <w:jc w:val="center"/>
        </w:trPr>
        <w:tc>
          <w:tcPr>
            <w:tcW w:w="5475" w:type="dxa"/>
            <w:tcBorders>
              <w:top w:val="nil"/>
              <w:left w:val="nil"/>
              <w:bottom w:val="nil"/>
              <w:right w:val="nil"/>
            </w:tcBorders>
            <w:shd w:val="clear" w:color="000000" w:fill="F2F2F2"/>
            <w:vAlign w:val="center"/>
          </w:tcPr>
          <w:p w14:paraId="11F2FE38" w14:textId="348087FD" w:rsidR="00EF0991" w:rsidRPr="006A5F0E" w:rsidRDefault="00EF0991" w:rsidP="00EF099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Pago de Estímulos a Servidores Públicos</w:t>
            </w:r>
          </w:p>
        </w:tc>
        <w:tc>
          <w:tcPr>
            <w:tcW w:w="1960" w:type="dxa"/>
            <w:tcBorders>
              <w:top w:val="nil"/>
              <w:left w:val="nil"/>
              <w:bottom w:val="nil"/>
              <w:right w:val="nil"/>
            </w:tcBorders>
            <w:shd w:val="clear" w:color="000000" w:fill="F2F2F2"/>
            <w:vAlign w:val="center"/>
          </w:tcPr>
          <w:p w14:paraId="320F62D7" w14:textId="02004BB9"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14,815,830,917.0</w:t>
            </w:r>
          </w:p>
        </w:tc>
        <w:tc>
          <w:tcPr>
            <w:tcW w:w="1961" w:type="dxa"/>
            <w:tcBorders>
              <w:top w:val="nil"/>
              <w:left w:val="nil"/>
              <w:bottom w:val="nil"/>
              <w:right w:val="nil"/>
            </w:tcBorders>
            <w:shd w:val="clear" w:color="000000" w:fill="F2F2F2"/>
            <w:vAlign w:val="center"/>
          </w:tcPr>
          <w:p w14:paraId="134FAA4D" w14:textId="39CB2F7B"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13,415,724,150.5</w:t>
            </w:r>
          </w:p>
        </w:tc>
      </w:tr>
      <w:tr w:rsidR="00EF0991" w:rsidRPr="00FC0913" w14:paraId="465C85FE" w14:textId="77777777" w:rsidTr="00B40AB0">
        <w:trPr>
          <w:trHeight w:val="255"/>
          <w:jc w:val="center"/>
        </w:trPr>
        <w:tc>
          <w:tcPr>
            <w:tcW w:w="5475" w:type="dxa"/>
            <w:tcBorders>
              <w:top w:val="nil"/>
              <w:left w:val="nil"/>
              <w:bottom w:val="nil"/>
              <w:right w:val="nil"/>
            </w:tcBorders>
            <w:shd w:val="clear" w:color="000000" w:fill="F2F2F2"/>
            <w:vAlign w:val="center"/>
          </w:tcPr>
          <w:p w14:paraId="5AD51E49" w14:textId="58E56728" w:rsidR="00EF0991" w:rsidRPr="006A5F0E" w:rsidRDefault="00EF0991" w:rsidP="00EF099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Remuneraciones al Personal de Carácter Transitorio</w:t>
            </w:r>
          </w:p>
        </w:tc>
        <w:tc>
          <w:tcPr>
            <w:tcW w:w="1960" w:type="dxa"/>
            <w:tcBorders>
              <w:top w:val="nil"/>
              <w:left w:val="nil"/>
              <w:bottom w:val="nil"/>
              <w:right w:val="nil"/>
            </w:tcBorders>
            <w:shd w:val="clear" w:color="000000" w:fill="F2F2F2"/>
            <w:vAlign w:val="center"/>
          </w:tcPr>
          <w:p w14:paraId="3CF7C2F1" w14:textId="09AEA04B"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1,571,731,958.8</w:t>
            </w:r>
          </w:p>
        </w:tc>
        <w:tc>
          <w:tcPr>
            <w:tcW w:w="1961" w:type="dxa"/>
            <w:tcBorders>
              <w:top w:val="nil"/>
              <w:left w:val="nil"/>
              <w:bottom w:val="nil"/>
              <w:right w:val="nil"/>
            </w:tcBorders>
            <w:shd w:val="clear" w:color="000000" w:fill="F2F2F2"/>
            <w:vAlign w:val="center"/>
          </w:tcPr>
          <w:p w14:paraId="07FE6B06" w14:textId="64B6B1E6" w:rsidR="00EF0991" w:rsidRPr="006A5F0E" w:rsidRDefault="00EF0991" w:rsidP="00EF099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1,337,237,573.7</w:t>
            </w:r>
          </w:p>
        </w:tc>
      </w:tr>
      <w:tr w:rsidR="00EF0991" w:rsidRPr="005946C5" w14:paraId="0B34278A" w14:textId="77777777" w:rsidTr="00B40AB0">
        <w:trPr>
          <w:trHeight w:val="255"/>
          <w:jc w:val="center"/>
        </w:trPr>
        <w:tc>
          <w:tcPr>
            <w:tcW w:w="5475" w:type="dxa"/>
            <w:tcBorders>
              <w:top w:val="nil"/>
              <w:left w:val="nil"/>
              <w:bottom w:val="single" w:sz="12" w:space="0" w:color="A6802D"/>
              <w:right w:val="nil"/>
            </w:tcBorders>
            <w:shd w:val="clear" w:color="000000" w:fill="F2F2F2"/>
            <w:vAlign w:val="center"/>
          </w:tcPr>
          <w:p w14:paraId="668D3FAE" w14:textId="5AED52C7" w:rsidR="00EF0991" w:rsidRPr="006A5F0E" w:rsidRDefault="00EF0991" w:rsidP="00EF0991">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Personales</w:t>
            </w:r>
          </w:p>
        </w:tc>
        <w:tc>
          <w:tcPr>
            <w:tcW w:w="1960" w:type="dxa"/>
            <w:tcBorders>
              <w:top w:val="nil"/>
              <w:left w:val="nil"/>
              <w:bottom w:val="single" w:sz="12" w:space="0" w:color="A6802D"/>
              <w:right w:val="nil"/>
            </w:tcBorders>
            <w:shd w:val="clear" w:color="000000" w:fill="F2F2F2"/>
            <w:vAlign w:val="center"/>
          </w:tcPr>
          <w:p w14:paraId="53D0F151" w14:textId="05115320" w:rsidR="00EF0991" w:rsidRPr="006A5F0E" w:rsidRDefault="00EF0991" w:rsidP="00EF099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161,058,466,587.3</w:t>
            </w:r>
          </w:p>
        </w:tc>
        <w:tc>
          <w:tcPr>
            <w:tcW w:w="1961" w:type="dxa"/>
            <w:tcBorders>
              <w:top w:val="nil"/>
              <w:left w:val="nil"/>
              <w:bottom w:val="single" w:sz="12" w:space="0" w:color="A6802D"/>
              <w:right w:val="nil"/>
            </w:tcBorders>
            <w:shd w:val="clear" w:color="000000" w:fill="F2F2F2"/>
            <w:vAlign w:val="center"/>
          </w:tcPr>
          <w:p w14:paraId="11C69AFA" w14:textId="3AFEC6EE" w:rsidR="00EF0991" w:rsidRPr="006A5F0E" w:rsidRDefault="00EF0991" w:rsidP="00EF099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145,496,787,758.1</w:t>
            </w:r>
          </w:p>
        </w:tc>
      </w:tr>
      <w:tr w:rsidR="006A5F0E" w:rsidRPr="00274555" w14:paraId="6F030DF6" w14:textId="77777777" w:rsidTr="00ED10B2">
        <w:trPr>
          <w:trHeight w:val="226"/>
          <w:jc w:val="center"/>
        </w:trPr>
        <w:tc>
          <w:tcPr>
            <w:tcW w:w="5475" w:type="dxa"/>
            <w:tcBorders>
              <w:top w:val="single" w:sz="12" w:space="0" w:color="A6802D"/>
              <w:left w:val="nil"/>
              <w:right w:val="nil"/>
            </w:tcBorders>
            <w:vAlign w:val="center"/>
          </w:tcPr>
          <w:p w14:paraId="6ADD8DE1"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5098EC25"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15A8279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33B9538" w14:textId="77777777" w:rsidR="006A5F0E" w:rsidRDefault="006A5F0E" w:rsidP="006A5F0E">
      <w:pPr>
        <w:pStyle w:val="TEXTONORMAL"/>
      </w:pPr>
    </w:p>
    <w:p w14:paraId="7FD8731C" w14:textId="77777777" w:rsidR="006A5F0E" w:rsidRDefault="003A52B3" w:rsidP="006A5F0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t>2</w:t>
      </w:r>
      <w:r w:rsidR="006A5F0E">
        <w:rPr>
          <w:rFonts w:ascii="Noto Sans" w:hAnsi="Noto Sans" w:cs="Noto Sans"/>
          <w:sz w:val="18"/>
          <w:szCs w:val="18"/>
        </w:rPr>
        <w:t xml:space="preserve">.2 Materiales y Suministros </w:t>
      </w:r>
    </w:p>
    <w:p w14:paraId="2DC4FD59" w14:textId="7C58607F" w:rsidR="006A5F0E" w:rsidRDefault="00FE0B69" w:rsidP="006A5F0E">
      <w:pPr>
        <w:pStyle w:val="TEXTONORMAL"/>
      </w:pPr>
      <w:r>
        <w:rPr>
          <w:rFonts w:cs="Noto Sans"/>
          <w:szCs w:val="18"/>
        </w:rPr>
        <w:t>A</w:t>
      </w:r>
      <w:r w:rsidRPr="000F4D76">
        <w:rPr>
          <w:rFonts w:cs="Noto Sans"/>
          <w:szCs w:val="18"/>
        </w:rPr>
        <w:t xml:space="preserve">l </w:t>
      </w:r>
      <w:r w:rsidR="00FC3DFB" w:rsidRPr="002B3F78">
        <w:rPr>
          <w:rFonts w:cs="Noto Sans"/>
          <w:szCs w:val="18"/>
        </w:rPr>
        <w:t>3</w:t>
      </w:r>
      <w:r w:rsidR="00FC3DFB">
        <w:rPr>
          <w:rFonts w:cs="Noto Sans"/>
          <w:szCs w:val="18"/>
        </w:rPr>
        <w:t>0</w:t>
      </w:r>
      <w:r w:rsidR="00FC3DFB" w:rsidRPr="002B3F78">
        <w:rPr>
          <w:rFonts w:cs="Noto Sans"/>
          <w:szCs w:val="18"/>
        </w:rPr>
        <w:t xml:space="preserve"> de </w:t>
      </w:r>
      <w:r w:rsidR="00FC3DFB">
        <w:rPr>
          <w:rFonts w:cs="Noto Sans"/>
          <w:szCs w:val="18"/>
        </w:rPr>
        <w:t>junio</w:t>
      </w:r>
      <w:r w:rsidR="00FC3DFB" w:rsidRPr="002B3F78">
        <w:rPr>
          <w:rFonts w:cs="Noto Sans"/>
          <w:szCs w:val="18"/>
        </w:rPr>
        <w:t xml:space="preserve"> </w:t>
      </w:r>
      <w:r w:rsidRPr="000F4D76">
        <w:rPr>
          <w:rFonts w:cs="Noto Sans"/>
          <w:szCs w:val="18"/>
        </w:rPr>
        <w:t>de 2025 y 2024</w:t>
      </w:r>
      <w:r w:rsidR="006A5F0E">
        <w:t>, el rubro de Materiales y Suministros está integrado como se muestra a continuación:</w:t>
      </w:r>
    </w:p>
    <w:p w14:paraId="793802B0" w14:textId="77777777" w:rsidR="00B40AB0" w:rsidRDefault="00B40AB0"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79CBDC71"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4CC2573"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6C5B55F"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3AEA5E0C"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1CD4E093"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DB83541" w14:textId="55655004"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EDFCDE4" w14:textId="36D9FD14"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A026A7" w:rsidRPr="005946C5" w14:paraId="3811AE97" w14:textId="77777777" w:rsidTr="00B40AB0">
        <w:trPr>
          <w:trHeight w:val="255"/>
          <w:jc w:val="center"/>
        </w:trPr>
        <w:tc>
          <w:tcPr>
            <w:tcW w:w="5475" w:type="dxa"/>
            <w:tcBorders>
              <w:top w:val="triple" w:sz="12" w:space="0" w:color="A6802D"/>
              <w:left w:val="nil"/>
              <w:bottom w:val="nil"/>
              <w:right w:val="nil"/>
            </w:tcBorders>
            <w:shd w:val="clear" w:color="000000" w:fill="F2F2F2"/>
            <w:vAlign w:val="center"/>
          </w:tcPr>
          <w:p w14:paraId="4C26D15E" w14:textId="75C82CE1" w:rsidR="00A026A7" w:rsidRPr="003A52B3" w:rsidRDefault="00A026A7" w:rsidP="00A026A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Productos Químicos, Farmacéuticos y de Laboratorio</w:t>
            </w:r>
          </w:p>
        </w:tc>
        <w:tc>
          <w:tcPr>
            <w:tcW w:w="1960" w:type="dxa"/>
            <w:tcBorders>
              <w:top w:val="triple" w:sz="12" w:space="0" w:color="A6802D"/>
              <w:left w:val="nil"/>
              <w:bottom w:val="nil"/>
              <w:right w:val="nil"/>
            </w:tcBorders>
            <w:shd w:val="clear" w:color="000000" w:fill="F2F2F2"/>
            <w:vAlign w:val="center"/>
          </w:tcPr>
          <w:p w14:paraId="083AE948" w14:textId="64E60E5A"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44,109,704,039.5</w:t>
            </w:r>
          </w:p>
        </w:tc>
        <w:tc>
          <w:tcPr>
            <w:tcW w:w="1961" w:type="dxa"/>
            <w:tcBorders>
              <w:top w:val="triple" w:sz="12" w:space="0" w:color="A6802D"/>
              <w:left w:val="nil"/>
              <w:bottom w:val="nil"/>
              <w:right w:val="nil"/>
            </w:tcBorders>
            <w:shd w:val="clear" w:color="000000" w:fill="F2F2F2"/>
            <w:vAlign w:val="center"/>
          </w:tcPr>
          <w:p w14:paraId="5714125F" w14:textId="6241F4D9"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37,970,041,532.1</w:t>
            </w:r>
          </w:p>
        </w:tc>
      </w:tr>
      <w:tr w:rsidR="00A026A7" w:rsidRPr="00FC0913" w14:paraId="11DC4649" w14:textId="77777777" w:rsidTr="00B40AB0">
        <w:trPr>
          <w:trHeight w:val="255"/>
          <w:jc w:val="center"/>
        </w:trPr>
        <w:tc>
          <w:tcPr>
            <w:tcW w:w="5475" w:type="dxa"/>
            <w:tcBorders>
              <w:top w:val="nil"/>
              <w:left w:val="nil"/>
              <w:bottom w:val="nil"/>
              <w:right w:val="nil"/>
            </w:tcBorders>
            <w:shd w:val="clear" w:color="000000" w:fill="F2F2F2"/>
            <w:vAlign w:val="center"/>
          </w:tcPr>
          <w:p w14:paraId="196395CC" w14:textId="01AC2E49" w:rsidR="00A026A7" w:rsidRPr="003A52B3" w:rsidRDefault="00A026A7" w:rsidP="00A026A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Alimentos y Utensilios</w:t>
            </w:r>
          </w:p>
        </w:tc>
        <w:tc>
          <w:tcPr>
            <w:tcW w:w="1960" w:type="dxa"/>
            <w:tcBorders>
              <w:top w:val="nil"/>
              <w:left w:val="nil"/>
              <w:bottom w:val="nil"/>
              <w:right w:val="nil"/>
            </w:tcBorders>
            <w:shd w:val="clear" w:color="000000" w:fill="F2F2F2"/>
            <w:vAlign w:val="center"/>
          </w:tcPr>
          <w:p w14:paraId="1C767CC4" w14:textId="1EC95560"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1,107,242,852.2</w:t>
            </w:r>
          </w:p>
        </w:tc>
        <w:tc>
          <w:tcPr>
            <w:tcW w:w="1961" w:type="dxa"/>
            <w:tcBorders>
              <w:top w:val="nil"/>
              <w:left w:val="nil"/>
              <w:bottom w:val="nil"/>
              <w:right w:val="nil"/>
            </w:tcBorders>
            <w:shd w:val="clear" w:color="000000" w:fill="F2F2F2"/>
            <w:vAlign w:val="center"/>
          </w:tcPr>
          <w:p w14:paraId="089D33E3" w14:textId="36E9E843"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1,163,004,608.5</w:t>
            </w:r>
          </w:p>
        </w:tc>
      </w:tr>
      <w:tr w:rsidR="00A026A7" w:rsidRPr="00FC0913" w14:paraId="4AA91A9D" w14:textId="77777777" w:rsidTr="00B40AB0">
        <w:trPr>
          <w:trHeight w:val="255"/>
          <w:jc w:val="center"/>
        </w:trPr>
        <w:tc>
          <w:tcPr>
            <w:tcW w:w="5475" w:type="dxa"/>
            <w:tcBorders>
              <w:top w:val="nil"/>
              <w:left w:val="nil"/>
              <w:bottom w:val="nil"/>
              <w:right w:val="nil"/>
            </w:tcBorders>
            <w:shd w:val="clear" w:color="000000" w:fill="F2F2F2"/>
            <w:vAlign w:val="center"/>
          </w:tcPr>
          <w:p w14:paraId="4A81288C" w14:textId="324FDDC6" w:rsidR="00A026A7" w:rsidRPr="003A52B3" w:rsidRDefault="00A026A7" w:rsidP="00A026A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Materiales de Administración, Emisión de Documentos y Artículos Oficiales</w:t>
            </w:r>
          </w:p>
        </w:tc>
        <w:tc>
          <w:tcPr>
            <w:tcW w:w="1960" w:type="dxa"/>
            <w:tcBorders>
              <w:top w:val="nil"/>
              <w:left w:val="nil"/>
              <w:bottom w:val="nil"/>
              <w:right w:val="nil"/>
            </w:tcBorders>
            <w:shd w:val="clear" w:color="000000" w:fill="F2F2F2"/>
            <w:vAlign w:val="center"/>
          </w:tcPr>
          <w:p w14:paraId="57FD6E61" w14:textId="3B3A9444"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1,057,102,860.5</w:t>
            </w:r>
          </w:p>
        </w:tc>
        <w:tc>
          <w:tcPr>
            <w:tcW w:w="1961" w:type="dxa"/>
            <w:tcBorders>
              <w:top w:val="nil"/>
              <w:left w:val="nil"/>
              <w:bottom w:val="nil"/>
              <w:right w:val="nil"/>
            </w:tcBorders>
            <w:shd w:val="clear" w:color="000000" w:fill="F2F2F2"/>
            <w:vAlign w:val="center"/>
          </w:tcPr>
          <w:p w14:paraId="3080722E" w14:textId="0B01F361"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1,023,777,094.4</w:t>
            </w:r>
          </w:p>
        </w:tc>
      </w:tr>
      <w:tr w:rsidR="00A026A7" w:rsidRPr="00FC0913" w14:paraId="6302AA2D" w14:textId="77777777" w:rsidTr="00B40AB0">
        <w:trPr>
          <w:trHeight w:val="255"/>
          <w:jc w:val="center"/>
        </w:trPr>
        <w:tc>
          <w:tcPr>
            <w:tcW w:w="5475" w:type="dxa"/>
            <w:tcBorders>
              <w:top w:val="nil"/>
              <w:left w:val="nil"/>
              <w:bottom w:val="nil"/>
              <w:right w:val="nil"/>
            </w:tcBorders>
            <w:shd w:val="clear" w:color="000000" w:fill="F2F2F2"/>
            <w:vAlign w:val="center"/>
          </w:tcPr>
          <w:p w14:paraId="546ED2F3" w14:textId="20A30AFC" w:rsidR="00A026A7" w:rsidRPr="003A52B3" w:rsidRDefault="00A026A7" w:rsidP="00A026A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Herramientas, Refacciones y Accesorios Menores</w:t>
            </w:r>
          </w:p>
        </w:tc>
        <w:tc>
          <w:tcPr>
            <w:tcW w:w="1960" w:type="dxa"/>
            <w:tcBorders>
              <w:top w:val="nil"/>
              <w:left w:val="nil"/>
              <w:bottom w:val="nil"/>
              <w:right w:val="nil"/>
            </w:tcBorders>
            <w:shd w:val="clear" w:color="000000" w:fill="F2F2F2"/>
            <w:vAlign w:val="center"/>
          </w:tcPr>
          <w:p w14:paraId="3A9F8CEB" w14:textId="5F122A1A"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1,053,718,229.1</w:t>
            </w:r>
          </w:p>
        </w:tc>
        <w:tc>
          <w:tcPr>
            <w:tcW w:w="1961" w:type="dxa"/>
            <w:tcBorders>
              <w:top w:val="nil"/>
              <w:left w:val="nil"/>
              <w:bottom w:val="nil"/>
              <w:right w:val="nil"/>
            </w:tcBorders>
            <w:shd w:val="clear" w:color="000000" w:fill="F2F2F2"/>
            <w:vAlign w:val="center"/>
          </w:tcPr>
          <w:p w14:paraId="15EDE8A4" w14:textId="530B0553"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1,003,413,888.1</w:t>
            </w:r>
          </w:p>
        </w:tc>
      </w:tr>
      <w:tr w:rsidR="00A026A7" w:rsidRPr="00FC0913" w14:paraId="4CFDFAC5" w14:textId="77777777" w:rsidTr="00B40AB0">
        <w:trPr>
          <w:trHeight w:val="255"/>
          <w:jc w:val="center"/>
        </w:trPr>
        <w:tc>
          <w:tcPr>
            <w:tcW w:w="5475" w:type="dxa"/>
            <w:tcBorders>
              <w:top w:val="nil"/>
              <w:left w:val="nil"/>
              <w:bottom w:val="nil"/>
              <w:right w:val="nil"/>
            </w:tcBorders>
            <w:shd w:val="clear" w:color="000000" w:fill="F2F2F2"/>
            <w:vAlign w:val="center"/>
          </w:tcPr>
          <w:p w14:paraId="11DCCAD2" w14:textId="29E933B3" w:rsidR="00A026A7" w:rsidRDefault="00A026A7" w:rsidP="00A026A7">
            <w:pPr>
              <w:spacing w:after="0" w:line="240" w:lineRule="auto"/>
              <w:jc w:val="both"/>
              <w:rPr>
                <w:rFonts w:ascii="Noto Sans" w:hAnsi="Noto Sans" w:cs="Noto Sans"/>
                <w:color w:val="000000"/>
                <w:sz w:val="15"/>
                <w:szCs w:val="15"/>
              </w:rPr>
            </w:pPr>
            <w:r>
              <w:rPr>
                <w:rFonts w:ascii="Noto Sans" w:hAnsi="Noto Sans" w:cs="Noto Sans"/>
                <w:color w:val="000000"/>
                <w:sz w:val="15"/>
                <w:szCs w:val="15"/>
              </w:rPr>
              <w:t>Combustibles, Lubricantes y Aditivos</w:t>
            </w:r>
          </w:p>
        </w:tc>
        <w:tc>
          <w:tcPr>
            <w:tcW w:w="1960" w:type="dxa"/>
            <w:tcBorders>
              <w:top w:val="nil"/>
              <w:left w:val="nil"/>
              <w:bottom w:val="nil"/>
              <w:right w:val="nil"/>
            </w:tcBorders>
            <w:shd w:val="clear" w:color="000000" w:fill="F2F2F2"/>
            <w:vAlign w:val="center"/>
          </w:tcPr>
          <w:p w14:paraId="5E5D9C26" w14:textId="68D82E52" w:rsidR="00A026A7" w:rsidRDefault="00A026A7" w:rsidP="00A026A7">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355,095,353.1</w:t>
            </w:r>
          </w:p>
        </w:tc>
        <w:tc>
          <w:tcPr>
            <w:tcW w:w="1961" w:type="dxa"/>
            <w:tcBorders>
              <w:top w:val="nil"/>
              <w:left w:val="nil"/>
              <w:bottom w:val="nil"/>
              <w:right w:val="nil"/>
            </w:tcBorders>
            <w:shd w:val="clear" w:color="000000" w:fill="F2F2F2"/>
            <w:vAlign w:val="center"/>
          </w:tcPr>
          <w:p w14:paraId="483C510B" w14:textId="4875F294" w:rsidR="00A026A7" w:rsidRDefault="00A026A7" w:rsidP="00A026A7">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371,794,037.5</w:t>
            </w:r>
          </w:p>
        </w:tc>
      </w:tr>
      <w:tr w:rsidR="00A026A7" w:rsidRPr="00FC0913" w14:paraId="152D2694" w14:textId="77777777" w:rsidTr="00B40AB0">
        <w:trPr>
          <w:trHeight w:val="255"/>
          <w:jc w:val="center"/>
        </w:trPr>
        <w:tc>
          <w:tcPr>
            <w:tcW w:w="5475" w:type="dxa"/>
            <w:tcBorders>
              <w:top w:val="nil"/>
              <w:left w:val="nil"/>
              <w:bottom w:val="nil"/>
              <w:right w:val="nil"/>
            </w:tcBorders>
            <w:shd w:val="clear" w:color="000000" w:fill="F2F2F2"/>
            <w:vAlign w:val="center"/>
          </w:tcPr>
          <w:p w14:paraId="78476EF0" w14:textId="78B7E1A8" w:rsidR="00A026A7" w:rsidRPr="003A52B3" w:rsidRDefault="00A026A7" w:rsidP="00A026A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Vestuario, Blancos, Prendas de Protección y Artículos Deportivos</w:t>
            </w:r>
          </w:p>
        </w:tc>
        <w:tc>
          <w:tcPr>
            <w:tcW w:w="1960" w:type="dxa"/>
            <w:tcBorders>
              <w:top w:val="nil"/>
              <w:left w:val="nil"/>
              <w:bottom w:val="nil"/>
              <w:right w:val="nil"/>
            </w:tcBorders>
            <w:shd w:val="clear" w:color="000000" w:fill="F2F2F2"/>
            <w:vAlign w:val="center"/>
          </w:tcPr>
          <w:p w14:paraId="6777F149" w14:textId="31BF06E0"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132,660,971.4</w:t>
            </w:r>
          </w:p>
        </w:tc>
        <w:tc>
          <w:tcPr>
            <w:tcW w:w="1961" w:type="dxa"/>
            <w:tcBorders>
              <w:top w:val="nil"/>
              <w:left w:val="nil"/>
              <w:bottom w:val="nil"/>
              <w:right w:val="nil"/>
            </w:tcBorders>
            <w:shd w:val="clear" w:color="000000" w:fill="F2F2F2"/>
            <w:vAlign w:val="center"/>
          </w:tcPr>
          <w:p w14:paraId="7F706059" w14:textId="6EF8A7C1"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226,704,356.7</w:t>
            </w:r>
          </w:p>
        </w:tc>
      </w:tr>
      <w:tr w:rsidR="00A026A7" w:rsidRPr="00FC0913" w14:paraId="0B9470D2" w14:textId="77777777" w:rsidTr="00B40AB0">
        <w:trPr>
          <w:trHeight w:val="255"/>
          <w:jc w:val="center"/>
        </w:trPr>
        <w:tc>
          <w:tcPr>
            <w:tcW w:w="5475" w:type="dxa"/>
            <w:tcBorders>
              <w:top w:val="nil"/>
              <w:left w:val="nil"/>
              <w:bottom w:val="nil"/>
              <w:right w:val="nil"/>
            </w:tcBorders>
            <w:shd w:val="clear" w:color="000000" w:fill="F2F2F2"/>
            <w:vAlign w:val="center"/>
          </w:tcPr>
          <w:p w14:paraId="002DB324" w14:textId="0C2185E8" w:rsidR="00A026A7" w:rsidRPr="003A52B3" w:rsidRDefault="00A026A7" w:rsidP="00A026A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Materiales y Artículos de Construcción y de Reparación</w:t>
            </w:r>
          </w:p>
        </w:tc>
        <w:tc>
          <w:tcPr>
            <w:tcW w:w="1960" w:type="dxa"/>
            <w:tcBorders>
              <w:top w:val="nil"/>
              <w:left w:val="nil"/>
              <w:bottom w:val="nil"/>
              <w:right w:val="nil"/>
            </w:tcBorders>
            <w:shd w:val="clear" w:color="000000" w:fill="F2F2F2"/>
            <w:vAlign w:val="center"/>
          </w:tcPr>
          <w:p w14:paraId="743E2878" w14:textId="7D63ACE1"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130,666,682.0</w:t>
            </w:r>
          </w:p>
        </w:tc>
        <w:tc>
          <w:tcPr>
            <w:tcW w:w="1961" w:type="dxa"/>
            <w:tcBorders>
              <w:top w:val="nil"/>
              <w:left w:val="nil"/>
              <w:bottom w:val="nil"/>
              <w:right w:val="nil"/>
            </w:tcBorders>
            <w:shd w:val="clear" w:color="000000" w:fill="F2F2F2"/>
            <w:vAlign w:val="center"/>
          </w:tcPr>
          <w:p w14:paraId="0FA36CDF" w14:textId="47AB550F"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119,884,367.9</w:t>
            </w:r>
          </w:p>
        </w:tc>
      </w:tr>
      <w:tr w:rsidR="00A026A7" w:rsidRPr="00FC0913" w14:paraId="42352DB6" w14:textId="77777777" w:rsidTr="00B40AB0">
        <w:trPr>
          <w:trHeight w:val="255"/>
          <w:jc w:val="center"/>
        </w:trPr>
        <w:tc>
          <w:tcPr>
            <w:tcW w:w="5475" w:type="dxa"/>
            <w:tcBorders>
              <w:top w:val="nil"/>
              <w:left w:val="nil"/>
              <w:bottom w:val="nil"/>
              <w:right w:val="nil"/>
            </w:tcBorders>
            <w:shd w:val="clear" w:color="000000" w:fill="F2F2F2"/>
            <w:vAlign w:val="center"/>
          </w:tcPr>
          <w:p w14:paraId="58B8D88B" w14:textId="0A774AEA" w:rsidR="00A026A7" w:rsidRPr="003A52B3" w:rsidRDefault="00A026A7" w:rsidP="00A026A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Materias Primas y Materiales de Producción y Comercialización</w:t>
            </w:r>
          </w:p>
        </w:tc>
        <w:tc>
          <w:tcPr>
            <w:tcW w:w="1960" w:type="dxa"/>
            <w:tcBorders>
              <w:top w:val="nil"/>
              <w:left w:val="nil"/>
              <w:bottom w:val="nil"/>
              <w:right w:val="nil"/>
            </w:tcBorders>
            <w:shd w:val="clear" w:color="000000" w:fill="F2F2F2"/>
            <w:vAlign w:val="center"/>
          </w:tcPr>
          <w:p w14:paraId="46582570" w14:textId="5BB33900"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17,503.0</w:t>
            </w:r>
          </w:p>
        </w:tc>
        <w:tc>
          <w:tcPr>
            <w:tcW w:w="1961" w:type="dxa"/>
            <w:tcBorders>
              <w:top w:val="nil"/>
              <w:left w:val="nil"/>
              <w:bottom w:val="nil"/>
              <w:right w:val="nil"/>
            </w:tcBorders>
            <w:shd w:val="clear" w:color="000000" w:fill="F2F2F2"/>
            <w:vAlign w:val="center"/>
          </w:tcPr>
          <w:p w14:paraId="3EA10477" w14:textId="32DFB17B" w:rsidR="00A026A7" w:rsidRPr="003A52B3" w:rsidRDefault="00A026A7" w:rsidP="00A026A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76,486.9</w:t>
            </w:r>
          </w:p>
        </w:tc>
      </w:tr>
      <w:tr w:rsidR="00A026A7" w:rsidRPr="005946C5" w14:paraId="49D67A09" w14:textId="77777777" w:rsidTr="00B40AB0">
        <w:trPr>
          <w:trHeight w:val="255"/>
          <w:jc w:val="center"/>
        </w:trPr>
        <w:tc>
          <w:tcPr>
            <w:tcW w:w="5475" w:type="dxa"/>
            <w:tcBorders>
              <w:top w:val="nil"/>
              <w:left w:val="nil"/>
              <w:bottom w:val="single" w:sz="12" w:space="0" w:color="A6802D"/>
              <w:right w:val="nil"/>
            </w:tcBorders>
            <w:shd w:val="clear" w:color="000000" w:fill="F2F2F2"/>
            <w:vAlign w:val="center"/>
          </w:tcPr>
          <w:p w14:paraId="3F43C162" w14:textId="0FDF981C" w:rsidR="00A026A7" w:rsidRPr="003A52B3" w:rsidRDefault="00A026A7" w:rsidP="00A026A7">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Materiales y Suministros</w:t>
            </w:r>
          </w:p>
        </w:tc>
        <w:tc>
          <w:tcPr>
            <w:tcW w:w="1960" w:type="dxa"/>
            <w:tcBorders>
              <w:top w:val="nil"/>
              <w:left w:val="nil"/>
              <w:bottom w:val="single" w:sz="12" w:space="0" w:color="A6802D"/>
              <w:right w:val="nil"/>
            </w:tcBorders>
            <w:shd w:val="clear" w:color="000000" w:fill="F2F2F2"/>
            <w:vAlign w:val="center"/>
          </w:tcPr>
          <w:p w14:paraId="255EAAF0" w14:textId="3DCB2664" w:rsidR="00A026A7" w:rsidRPr="003A52B3" w:rsidRDefault="00A026A7" w:rsidP="00A026A7">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47,946,208,490.8</w:t>
            </w:r>
          </w:p>
        </w:tc>
        <w:tc>
          <w:tcPr>
            <w:tcW w:w="1961" w:type="dxa"/>
            <w:tcBorders>
              <w:top w:val="nil"/>
              <w:left w:val="nil"/>
              <w:bottom w:val="single" w:sz="12" w:space="0" w:color="A6802D"/>
              <w:right w:val="nil"/>
            </w:tcBorders>
            <w:shd w:val="clear" w:color="000000" w:fill="F2F2F2"/>
            <w:vAlign w:val="center"/>
          </w:tcPr>
          <w:p w14:paraId="3BD086F7" w14:textId="6E2FA68D" w:rsidR="00A026A7" w:rsidRPr="003A52B3" w:rsidRDefault="00A026A7" w:rsidP="00A026A7">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41,878,696,372.1</w:t>
            </w:r>
          </w:p>
        </w:tc>
      </w:tr>
      <w:tr w:rsidR="006A5F0E" w:rsidRPr="00274555" w14:paraId="16DF228D" w14:textId="77777777" w:rsidTr="00B40AB0">
        <w:trPr>
          <w:trHeight w:val="255"/>
          <w:jc w:val="center"/>
        </w:trPr>
        <w:tc>
          <w:tcPr>
            <w:tcW w:w="5475" w:type="dxa"/>
            <w:tcBorders>
              <w:top w:val="single" w:sz="12" w:space="0" w:color="A6802D"/>
              <w:left w:val="nil"/>
              <w:right w:val="nil"/>
            </w:tcBorders>
            <w:vAlign w:val="center"/>
          </w:tcPr>
          <w:p w14:paraId="44148FF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63E42217"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41FCB601"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093D3B11" w14:textId="262855F0" w:rsidR="006A5F0E" w:rsidRDefault="003A52B3" w:rsidP="006A5F0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2</w:t>
      </w:r>
      <w:r w:rsidR="006A5F0E">
        <w:rPr>
          <w:rFonts w:ascii="Noto Sans" w:hAnsi="Noto Sans" w:cs="Noto Sans"/>
          <w:sz w:val="18"/>
          <w:szCs w:val="18"/>
        </w:rPr>
        <w:t>.3 Servicios Generales</w:t>
      </w:r>
    </w:p>
    <w:p w14:paraId="0D0FA55D" w14:textId="7851C4C0" w:rsidR="003A52B3" w:rsidRDefault="00FE0B69" w:rsidP="006A5F0E">
      <w:pPr>
        <w:pStyle w:val="TEXTONORMAL"/>
      </w:pPr>
      <w:r>
        <w:rPr>
          <w:rFonts w:cs="Noto Sans"/>
          <w:szCs w:val="18"/>
        </w:rPr>
        <w:t>A</w:t>
      </w:r>
      <w:r w:rsidRPr="000F4D76">
        <w:rPr>
          <w:rFonts w:cs="Noto Sans"/>
          <w:szCs w:val="18"/>
        </w:rPr>
        <w:t xml:space="preserve">l </w:t>
      </w:r>
      <w:r w:rsidR="00F04699" w:rsidRPr="002B3F78">
        <w:rPr>
          <w:rFonts w:cs="Noto Sans"/>
          <w:szCs w:val="18"/>
        </w:rPr>
        <w:t>3</w:t>
      </w:r>
      <w:r w:rsidR="00F04699">
        <w:rPr>
          <w:rFonts w:cs="Noto Sans"/>
          <w:szCs w:val="18"/>
        </w:rPr>
        <w:t>0</w:t>
      </w:r>
      <w:r w:rsidR="00F04699" w:rsidRPr="002B3F78">
        <w:rPr>
          <w:rFonts w:cs="Noto Sans"/>
          <w:szCs w:val="18"/>
        </w:rPr>
        <w:t xml:space="preserve"> de </w:t>
      </w:r>
      <w:r w:rsidR="00F04699">
        <w:rPr>
          <w:rFonts w:cs="Noto Sans"/>
          <w:szCs w:val="18"/>
        </w:rPr>
        <w:t>junio</w:t>
      </w:r>
      <w:r w:rsidR="00F04699" w:rsidRPr="002B3F78">
        <w:rPr>
          <w:rFonts w:cs="Noto Sans"/>
          <w:szCs w:val="18"/>
        </w:rPr>
        <w:t xml:space="preserve"> </w:t>
      </w:r>
      <w:r w:rsidRPr="000F4D76">
        <w:rPr>
          <w:rFonts w:cs="Noto Sans"/>
          <w:szCs w:val="18"/>
        </w:rPr>
        <w:t>de 2025 y 2024</w:t>
      </w:r>
      <w:r w:rsidR="006A5F0E">
        <w:t>, el rubro de Servicios Generales está integrado como se muestra a continuación:</w:t>
      </w:r>
    </w:p>
    <w:p w14:paraId="2C479E61" w14:textId="77777777" w:rsidR="00B40AB0" w:rsidRPr="00601CD5" w:rsidRDefault="00B40AB0"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33DEC449"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293AE8D"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69C43B9"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04543486"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41CE137"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2F8B366" w14:textId="77B96FD7"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A0747A3" w14:textId="3399BF06"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D3138D" w:rsidRPr="005946C5" w14:paraId="0149FC13" w14:textId="77777777" w:rsidTr="003A52B3">
        <w:trPr>
          <w:trHeight w:val="283"/>
          <w:jc w:val="center"/>
        </w:trPr>
        <w:tc>
          <w:tcPr>
            <w:tcW w:w="5475" w:type="dxa"/>
            <w:tcBorders>
              <w:top w:val="triple" w:sz="12" w:space="0" w:color="A6802D"/>
              <w:left w:val="nil"/>
              <w:bottom w:val="nil"/>
              <w:right w:val="nil"/>
            </w:tcBorders>
            <w:shd w:val="clear" w:color="000000" w:fill="F2F2F2"/>
            <w:vAlign w:val="center"/>
          </w:tcPr>
          <w:p w14:paraId="2D6FB958" w14:textId="52187F67"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Profesionales, Científicos y Técnicos y Otros Servicios </w:t>
            </w:r>
            <w:r>
              <w:rPr>
                <w:rFonts w:ascii="Noto Sans" w:hAnsi="Noto Sans" w:cs="Noto Sans"/>
                <w:b/>
                <w:bCs/>
                <w:color w:val="000000"/>
                <w:sz w:val="15"/>
                <w:szCs w:val="15"/>
              </w:rPr>
              <w:t>(2.3.a)</w:t>
            </w:r>
          </w:p>
        </w:tc>
        <w:tc>
          <w:tcPr>
            <w:tcW w:w="1960" w:type="dxa"/>
            <w:tcBorders>
              <w:top w:val="triple" w:sz="12" w:space="0" w:color="A6802D"/>
              <w:left w:val="nil"/>
              <w:bottom w:val="nil"/>
              <w:right w:val="nil"/>
            </w:tcBorders>
            <w:shd w:val="clear" w:color="000000" w:fill="F2F2F2"/>
            <w:vAlign w:val="center"/>
          </w:tcPr>
          <w:p w14:paraId="32263571" w14:textId="4FA204F3"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25,574,673,337.9</w:t>
            </w:r>
          </w:p>
        </w:tc>
        <w:tc>
          <w:tcPr>
            <w:tcW w:w="1961" w:type="dxa"/>
            <w:tcBorders>
              <w:top w:val="triple" w:sz="12" w:space="0" w:color="A6802D"/>
              <w:left w:val="nil"/>
              <w:bottom w:val="nil"/>
              <w:right w:val="nil"/>
            </w:tcBorders>
            <w:shd w:val="clear" w:color="000000" w:fill="F2F2F2"/>
            <w:vAlign w:val="center"/>
          </w:tcPr>
          <w:p w14:paraId="7EDD0D09" w14:textId="6EEFA93A"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24,856,614,170.7</w:t>
            </w:r>
          </w:p>
        </w:tc>
      </w:tr>
      <w:tr w:rsidR="00D3138D" w:rsidRPr="00FC0913" w14:paraId="22B9C357" w14:textId="77777777" w:rsidTr="003A52B3">
        <w:trPr>
          <w:trHeight w:val="283"/>
          <w:jc w:val="center"/>
        </w:trPr>
        <w:tc>
          <w:tcPr>
            <w:tcW w:w="5475" w:type="dxa"/>
            <w:tcBorders>
              <w:top w:val="nil"/>
              <w:left w:val="nil"/>
              <w:bottom w:val="nil"/>
              <w:right w:val="nil"/>
            </w:tcBorders>
            <w:shd w:val="clear" w:color="000000" w:fill="F2F2F2"/>
            <w:vAlign w:val="center"/>
          </w:tcPr>
          <w:p w14:paraId="0E58044D" w14:textId="730113D8"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Básicos</w:t>
            </w:r>
          </w:p>
        </w:tc>
        <w:tc>
          <w:tcPr>
            <w:tcW w:w="1960" w:type="dxa"/>
            <w:tcBorders>
              <w:top w:val="nil"/>
              <w:left w:val="nil"/>
              <w:bottom w:val="nil"/>
              <w:right w:val="nil"/>
            </w:tcBorders>
            <w:shd w:val="clear" w:color="000000" w:fill="F2F2F2"/>
            <w:vAlign w:val="center"/>
          </w:tcPr>
          <w:p w14:paraId="61A9B592" w14:textId="46B740A6"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2,359,032,408.3</w:t>
            </w:r>
          </w:p>
        </w:tc>
        <w:tc>
          <w:tcPr>
            <w:tcW w:w="1961" w:type="dxa"/>
            <w:tcBorders>
              <w:top w:val="nil"/>
              <w:left w:val="nil"/>
              <w:bottom w:val="nil"/>
              <w:right w:val="nil"/>
            </w:tcBorders>
            <w:shd w:val="clear" w:color="000000" w:fill="F2F2F2"/>
            <w:vAlign w:val="center"/>
          </w:tcPr>
          <w:p w14:paraId="46A77ED6" w14:textId="2116F408"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2,417,230,652.7</w:t>
            </w:r>
          </w:p>
        </w:tc>
      </w:tr>
      <w:tr w:rsidR="00D3138D" w:rsidRPr="00FC0913" w14:paraId="48689ECB" w14:textId="77777777" w:rsidTr="003A52B3">
        <w:trPr>
          <w:trHeight w:val="283"/>
          <w:jc w:val="center"/>
        </w:trPr>
        <w:tc>
          <w:tcPr>
            <w:tcW w:w="5475" w:type="dxa"/>
            <w:tcBorders>
              <w:top w:val="nil"/>
              <w:left w:val="nil"/>
              <w:bottom w:val="nil"/>
              <w:right w:val="nil"/>
            </w:tcBorders>
            <w:shd w:val="clear" w:color="000000" w:fill="F2F2F2"/>
            <w:vAlign w:val="center"/>
          </w:tcPr>
          <w:p w14:paraId="4B87B426" w14:textId="79639570"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Instalación, Reparación, Mantenimiento y Conservación</w:t>
            </w:r>
          </w:p>
        </w:tc>
        <w:tc>
          <w:tcPr>
            <w:tcW w:w="1960" w:type="dxa"/>
            <w:tcBorders>
              <w:top w:val="nil"/>
              <w:left w:val="nil"/>
              <w:bottom w:val="nil"/>
              <w:right w:val="nil"/>
            </w:tcBorders>
            <w:shd w:val="clear" w:color="000000" w:fill="F2F2F2"/>
            <w:vAlign w:val="center"/>
          </w:tcPr>
          <w:p w14:paraId="301703F3" w14:textId="78DD1E9D"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1,824,645,972.7</w:t>
            </w:r>
          </w:p>
        </w:tc>
        <w:tc>
          <w:tcPr>
            <w:tcW w:w="1961" w:type="dxa"/>
            <w:tcBorders>
              <w:top w:val="nil"/>
              <w:left w:val="nil"/>
              <w:bottom w:val="nil"/>
              <w:right w:val="nil"/>
            </w:tcBorders>
            <w:shd w:val="clear" w:color="000000" w:fill="F2F2F2"/>
            <w:vAlign w:val="center"/>
          </w:tcPr>
          <w:p w14:paraId="7DFF5B90" w14:textId="6AD9C6E3"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2,709,269,718.1</w:t>
            </w:r>
          </w:p>
        </w:tc>
      </w:tr>
      <w:tr w:rsidR="00D3138D" w:rsidRPr="00FC0913" w14:paraId="487CA8F5" w14:textId="77777777" w:rsidTr="003A52B3">
        <w:trPr>
          <w:trHeight w:val="283"/>
          <w:jc w:val="center"/>
        </w:trPr>
        <w:tc>
          <w:tcPr>
            <w:tcW w:w="5475" w:type="dxa"/>
            <w:tcBorders>
              <w:top w:val="nil"/>
              <w:left w:val="nil"/>
              <w:bottom w:val="nil"/>
              <w:right w:val="nil"/>
            </w:tcBorders>
            <w:shd w:val="clear" w:color="000000" w:fill="F2F2F2"/>
            <w:vAlign w:val="center"/>
          </w:tcPr>
          <w:p w14:paraId="70A0B8C5" w14:textId="60FE34D8"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Servicios Generales</w:t>
            </w:r>
          </w:p>
        </w:tc>
        <w:tc>
          <w:tcPr>
            <w:tcW w:w="1960" w:type="dxa"/>
            <w:tcBorders>
              <w:top w:val="nil"/>
              <w:left w:val="nil"/>
              <w:bottom w:val="nil"/>
              <w:right w:val="nil"/>
            </w:tcBorders>
            <w:shd w:val="clear" w:color="000000" w:fill="F2F2F2"/>
            <w:vAlign w:val="center"/>
          </w:tcPr>
          <w:p w14:paraId="60DD5467" w14:textId="592BDC41"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1,434,987,564.1</w:t>
            </w:r>
          </w:p>
        </w:tc>
        <w:tc>
          <w:tcPr>
            <w:tcW w:w="1961" w:type="dxa"/>
            <w:tcBorders>
              <w:top w:val="nil"/>
              <w:left w:val="nil"/>
              <w:bottom w:val="nil"/>
              <w:right w:val="nil"/>
            </w:tcBorders>
            <w:shd w:val="clear" w:color="000000" w:fill="F2F2F2"/>
            <w:vAlign w:val="center"/>
          </w:tcPr>
          <w:p w14:paraId="25FBD08E" w14:textId="5550EE0B"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2,934,135,238.0</w:t>
            </w:r>
          </w:p>
        </w:tc>
      </w:tr>
      <w:tr w:rsidR="00D3138D" w:rsidRPr="00FC0913" w14:paraId="28A4F2FE" w14:textId="77777777" w:rsidTr="003A52B3">
        <w:trPr>
          <w:trHeight w:val="283"/>
          <w:jc w:val="center"/>
        </w:trPr>
        <w:tc>
          <w:tcPr>
            <w:tcW w:w="5475" w:type="dxa"/>
            <w:tcBorders>
              <w:top w:val="nil"/>
              <w:left w:val="nil"/>
              <w:bottom w:val="nil"/>
              <w:right w:val="nil"/>
            </w:tcBorders>
            <w:shd w:val="clear" w:color="000000" w:fill="F2F2F2"/>
            <w:vAlign w:val="center"/>
          </w:tcPr>
          <w:p w14:paraId="716AA2E1" w14:textId="54F2A4C7"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Arrendamiento</w:t>
            </w:r>
          </w:p>
        </w:tc>
        <w:tc>
          <w:tcPr>
            <w:tcW w:w="1960" w:type="dxa"/>
            <w:tcBorders>
              <w:top w:val="nil"/>
              <w:left w:val="nil"/>
              <w:bottom w:val="nil"/>
              <w:right w:val="nil"/>
            </w:tcBorders>
            <w:shd w:val="clear" w:color="000000" w:fill="F2F2F2"/>
            <w:vAlign w:val="center"/>
          </w:tcPr>
          <w:p w14:paraId="22F796D0" w14:textId="686BAECC"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1,253,042,489.6</w:t>
            </w:r>
          </w:p>
        </w:tc>
        <w:tc>
          <w:tcPr>
            <w:tcW w:w="1961" w:type="dxa"/>
            <w:tcBorders>
              <w:top w:val="nil"/>
              <w:left w:val="nil"/>
              <w:bottom w:val="nil"/>
              <w:right w:val="nil"/>
            </w:tcBorders>
            <w:shd w:val="clear" w:color="000000" w:fill="F2F2F2"/>
            <w:vAlign w:val="center"/>
          </w:tcPr>
          <w:p w14:paraId="0F6173D2" w14:textId="3DD44B2B"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1,409,977,165.6</w:t>
            </w:r>
          </w:p>
        </w:tc>
      </w:tr>
      <w:tr w:rsidR="00D3138D" w:rsidRPr="00FC0913" w14:paraId="5B0DE2D2" w14:textId="77777777" w:rsidTr="003A52B3">
        <w:trPr>
          <w:trHeight w:val="283"/>
          <w:jc w:val="center"/>
        </w:trPr>
        <w:tc>
          <w:tcPr>
            <w:tcW w:w="5475" w:type="dxa"/>
            <w:tcBorders>
              <w:top w:val="nil"/>
              <w:left w:val="nil"/>
              <w:bottom w:val="nil"/>
              <w:right w:val="nil"/>
            </w:tcBorders>
            <w:shd w:val="clear" w:color="000000" w:fill="F2F2F2"/>
            <w:vAlign w:val="center"/>
          </w:tcPr>
          <w:p w14:paraId="5B0ABA7C" w14:textId="0351CBC4"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Financieros, Bancarios y Comerciales</w:t>
            </w:r>
          </w:p>
        </w:tc>
        <w:tc>
          <w:tcPr>
            <w:tcW w:w="1960" w:type="dxa"/>
            <w:tcBorders>
              <w:top w:val="nil"/>
              <w:left w:val="nil"/>
              <w:bottom w:val="nil"/>
              <w:right w:val="nil"/>
            </w:tcBorders>
            <w:shd w:val="clear" w:color="000000" w:fill="F2F2F2"/>
            <w:vAlign w:val="center"/>
          </w:tcPr>
          <w:p w14:paraId="45A11A70" w14:textId="0A172521"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821,877,452.2</w:t>
            </w:r>
          </w:p>
        </w:tc>
        <w:tc>
          <w:tcPr>
            <w:tcW w:w="1961" w:type="dxa"/>
            <w:tcBorders>
              <w:top w:val="nil"/>
              <w:left w:val="nil"/>
              <w:bottom w:val="nil"/>
              <w:right w:val="nil"/>
            </w:tcBorders>
            <w:shd w:val="clear" w:color="000000" w:fill="F2F2F2"/>
            <w:vAlign w:val="center"/>
          </w:tcPr>
          <w:p w14:paraId="50800A09" w14:textId="2D4BDBDA"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998,552,783.5</w:t>
            </w:r>
          </w:p>
        </w:tc>
      </w:tr>
      <w:tr w:rsidR="00D3138D" w:rsidRPr="00FC0913" w14:paraId="15D78316" w14:textId="77777777" w:rsidTr="003A52B3">
        <w:trPr>
          <w:trHeight w:val="283"/>
          <w:jc w:val="center"/>
        </w:trPr>
        <w:tc>
          <w:tcPr>
            <w:tcW w:w="5475" w:type="dxa"/>
            <w:tcBorders>
              <w:top w:val="nil"/>
              <w:left w:val="nil"/>
              <w:bottom w:val="nil"/>
              <w:right w:val="nil"/>
            </w:tcBorders>
            <w:shd w:val="clear" w:color="000000" w:fill="F2F2F2"/>
            <w:vAlign w:val="center"/>
          </w:tcPr>
          <w:p w14:paraId="3EC36D2D" w14:textId="2A585BB7"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Traslado y Viáticos</w:t>
            </w:r>
          </w:p>
        </w:tc>
        <w:tc>
          <w:tcPr>
            <w:tcW w:w="1960" w:type="dxa"/>
            <w:tcBorders>
              <w:top w:val="nil"/>
              <w:left w:val="nil"/>
              <w:bottom w:val="nil"/>
              <w:right w:val="nil"/>
            </w:tcBorders>
            <w:shd w:val="clear" w:color="000000" w:fill="F2F2F2"/>
            <w:vAlign w:val="center"/>
          </w:tcPr>
          <w:p w14:paraId="6A403DD9" w14:textId="2F85921F"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564,627,995.8</w:t>
            </w:r>
          </w:p>
        </w:tc>
        <w:tc>
          <w:tcPr>
            <w:tcW w:w="1961" w:type="dxa"/>
            <w:tcBorders>
              <w:top w:val="nil"/>
              <w:left w:val="nil"/>
              <w:bottom w:val="nil"/>
              <w:right w:val="nil"/>
            </w:tcBorders>
            <w:shd w:val="clear" w:color="000000" w:fill="F2F2F2"/>
            <w:vAlign w:val="center"/>
          </w:tcPr>
          <w:p w14:paraId="3D919A41" w14:textId="5F60709F"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476,782,216.1</w:t>
            </w:r>
          </w:p>
        </w:tc>
      </w:tr>
      <w:tr w:rsidR="00D3138D" w:rsidRPr="00FC0913" w14:paraId="42B1B009" w14:textId="77777777" w:rsidTr="003A52B3">
        <w:trPr>
          <w:trHeight w:val="283"/>
          <w:jc w:val="center"/>
        </w:trPr>
        <w:tc>
          <w:tcPr>
            <w:tcW w:w="5475" w:type="dxa"/>
            <w:tcBorders>
              <w:top w:val="nil"/>
              <w:left w:val="nil"/>
              <w:bottom w:val="nil"/>
              <w:right w:val="nil"/>
            </w:tcBorders>
            <w:shd w:val="clear" w:color="000000" w:fill="F2F2F2"/>
            <w:vAlign w:val="center"/>
          </w:tcPr>
          <w:p w14:paraId="07CCA3CF" w14:textId="5142CCC1"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Oficiales</w:t>
            </w:r>
          </w:p>
        </w:tc>
        <w:tc>
          <w:tcPr>
            <w:tcW w:w="1960" w:type="dxa"/>
            <w:tcBorders>
              <w:top w:val="nil"/>
              <w:left w:val="nil"/>
              <w:bottom w:val="nil"/>
              <w:right w:val="nil"/>
            </w:tcBorders>
            <w:shd w:val="clear" w:color="000000" w:fill="F2F2F2"/>
            <w:vAlign w:val="center"/>
          </w:tcPr>
          <w:p w14:paraId="50B4F43F" w14:textId="120206CA"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6,426,234.7</w:t>
            </w:r>
          </w:p>
        </w:tc>
        <w:tc>
          <w:tcPr>
            <w:tcW w:w="1961" w:type="dxa"/>
            <w:tcBorders>
              <w:top w:val="nil"/>
              <w:left w:val="nil"/>
              <w:bottom w:val="nil"/>
              <w:right w:val="nil"/>
            </w:tcBorders>
            <w:shd w:val="clear" w:color="000000" w:fill="F2F2F2"/>
            <w:vAlign w:val="center"/>
          </w:tcPr>
          <w:p w14:paraId="490AE9A1" w14:textId="760EDE0F"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4,526,967.7</w:t>
            </w:r>
          </w:p>
        </w:tc>
      </w:tr>
      <w:tr w:rsidR="00D3138D" w:rsidRPr="00FC0913" w14:paraId="450DC990" w14:textId="77777777" w:rsidTr="003A52B3">
        <w:trPr>
          <w:trHeight w:val="283"/>
          <w:jc w:val="center"/>
        </w:trPr>
        <w:tc>
          <w:tcPr>
            <w:tcW w:w="5475" w:type="dxa"/>
            <w:tcBorders>
              <w:top w:val="nil"/>
              <w:left w:val="nil"/>
              <w:bottom w:val="nil"/>
              <w:right w:val="nil"/>
            </w:tcBorders>
            <w:shd w:val="clear" w:color="000000" w:fill="F2F2F2"/>
            <w:vAlign w:val="center"/>
          </w:tcPr>
          <w:p w14:paraId="35BB2E59" w14:textId="01AC7CA8" w:rsidR="00D3138D" w:rsidRPr="003A52B3" w:rsidRDefault="00D3138D" w:rsidP="00D3138D">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Comunicación Social y Publicidad</w:t>
            </w:r>
          </w:p>
        </w:tc>
        <w:tc>
          <w:tcPr>
            <w:tcW w:w="1960" w:type="dxa"/>
            <w:tcBorders>
              <w:top w:val="nil"/>
              <w:left w:val="nil"/>
              <w:bottom w:val="nil"/>
              <w:right w:val="nil"/>
            </w:tcBorders>
            <w:shd w:val="clear" w:color="000000" w:fill="F2F2F2"/>
            <w:vAlign w:val="center"/>
          </w:tcPr>
          <w:p w14:paraId="68EDE771" w14:textId="7CED33D5"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1,791,802.7</w:t>
            </w:r>
          </w:p>
        </w:tc>
        <w:tc>
          <w:tcPr>
            <w:tcW w:w="1961" w:type="dxa"/>
            <w:tcBorders>
              <w:top w:val="nil"/>
              <w:left w:val="nil"/>
              <w:bottom w:val="nil"/>
              <w:right w:val="nil"/>
            </w:tcBorders>
            <w:shd w:val="clear" w:color="000000" w:fill="F2F2F2"/>
            <w:vAlign w:val="center"/>
          </w:tcPr>
          <w:p w14:paraId="09D4D576" w14:textId="63CDD765" w:rsidR="00D3138D" w:rsidRPr="003A52B3" w:rsidRDefault="00D3138D" w:rsidP="00D3138D">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199,373,754.5</w:t>
            </w:r>
          </w:p>
        </w:tc>
      </w:tr>
      <w:tr w:rsidR="00D3138D" w:rsidRPr="005946C5" w14:paraId="074F053F" w14:textId="77777777" w:rsidTr="003A52B3">
        <w:trPr>
          <w:trHeight w:val="283"/>
          <w:jc w:val="center"/>
        </w:trPr>
        <w:tc>
          <w:tcPr>
            <w:tcW w:w="5475" w:type="dxa"/>
            <w:tcBorders>
              <w:top w:val="nil"/>
              <w:left w:val="nil"/>
              <w:bottom w:val="single" w:sz="12" w:space="0" w:color="A6802D"/>
              <w:right w:val="nil"/>
            </w:tcBorders>
            <w:shd w:val="clear" w:color="000000" w:fill="F2F2F2"/>
            <w:vAlign w:val="center"/>
          </w:tcPr>
          <w:p w14:paraId="3CFA6DE8" w14:textId="13D3881A" w:rsidR="00D3138D" w:rsidRPr="003A52B3" w:rsidRDefault="00D3138D" w:rsidP="00D3138D">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Generales</w:t>
            </w:r>
          </w:p>
        </w:tc>
        <w:tc>
          <w:tcPr>
            <w:tcW w:w="1960" w:type="dxa"/>
            <w:tcBorders>
              <w:top w:val="nil"/>
              <w:left w:val="nil"/>
              <w:bottom w:val="single" w:sz="12" w:space="0" w:color="A6802D"/>
              <w:right w:val="nil"/>
            </w:tcBorders>
            <w:shd w:val="clear" w:color="000000" w:fill="F2F2F2"/>
            <w:vAlign w:val="center"/>
          </w:tcPr>
          <w:p w14:paraId="6E5739E4" w14:textId="59B62672" w:rsidR="00D3138D" w:rsidRPr="003A52B3" w:rsidRDefault="00D3138D" w:rsidP="00D3138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33,841,105,258.0</w:t>
            </w:r>
          </w:p>
        </w:tc>
        <w:tc>
          <w:tcPr>
            <w:tcW w:w="1961" w:type="dxa"/>
            <w:tcBorders>
              <w:top w:val="nil"/>
              <w:left w:val="nil"/>
              <w:bottom w:val="single" w:sz="12" w:space="0" w:color="A6802D"/>
              <w:right w:val="nil"/>
            </w:tcBorders>
            <w:shd w:val="clear" w:color="000000" w:fill="F2F2F2"/>
            <w:vAlign w:val="center"/>
          </w:tcPr>
          <w:p w14:paraId="2354CD27" w14:textId="2E424D17" w:rsidR="00D3138D" w:rsidRPr="003A52B3" w:rsidRDefault="00D3138D" w:rsidP="00D3138D">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36,006,462,666.9</w:t>
            </w:r>
          </w:p>
        </w:tc>
      </w:tr>
      <w:tr w:rsidR="006A5F0E" w:rsidRPr="00274555" w14:paraId="76DF1739" w14:textId="77777777" w:rsidTr="00ED10B2">
        <w:trPr>
          <w:trHeight w:val="226"/>
          <w:jc w:val="center"/>
        </w:trPr>
        <w:tc>
          <w:tcPr>
            <w:tcW w:w="5475" w:type="dxa"/>
            <w:tcBorders>
              <w:top w:val="single" w:sz="12" w:space="0" w:color="A6802D"/>
              <w:left w:val="nil"/>
              <w:right w:val="nil"/>
            </w:tcBorders>
            <w:vAlign w:val="center"/>
          </w:tcPr>
          <w:p w14:paraId="7D88FE93"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B9B528E"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60BABC85"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78AEEE6" w14:textId="77777777" w:rsidR="00CE6C23" w:rsidRPr="00601CD5" w:rsidRDefault="00CE6C23" w:rsidP="006A5F0E">
      <w:pPr>
        <w:spacing w:after="120" w:line="250" w:lineRule="exact"/>
        <w:rPr>
          <w:rFonts w:ascii="Noto Sans" w:hAnsi="Noto Sans" w:cs="Noto Sans"/>
          <w:sz w:val="18"/>
          <w:szCs w:val="18"/>
        </w:rPr>
      </w:pPr>
    </w:p>
    <w:p w14:paraId="57FBDDDF" w14:textId="704DC9B1" w:rsidR="003A52B3" w:rsidRDefault="005832C1" w:rsidP="00D461EC">
      <w:pPr>
        <w:pStyle w:val="Prrafodelista"/>
        <w:numPr>
          <w:ilvl w:val="0"/>
          <w:numId w:val="26"/>
        </w:numPr>
        <w:spacing w:after="120" w:line="250" w:lineRule="exact"/>
        <w:ind w:left="714" w:hanging="357"/>
        <w:rPr>
          <w:rFonts w:ascii="Noto Sans" w:hAnsi="Noto Sans" w:cs="Noto Sans"/>
          <w:sz w:val="18"/>
          <w:szCs w:val="18"/>
          <w:lang w:val="es-ES"/>
        </w:rPr>
      </w:pPr>
      <w:r>
        <w:rPr>
          <w:rFonts w:ascii="Noto Sans" w:hAnsi="Noto Sans" w:cs="Noto Sans"/>
          <w:sz w:val="18"/>
          <w:szCs w:val="18"/>
        </w:rPr>
        <w:t>2</w:t>
      </w:r>
      <w:r w:rsidR="006A5F0E" w:rsidRPr="00592DD1">
        <w:rPr>
          <w:rFonts w:ascii="Noto Sans" w:hAnsi="Noto Sans" w:cs="Noto Sans"/>
          <w:sz w:val="18"/>
          <w:szCs w:val="18"/>
          <w:lang w:val="es-ES"/>
        </w:rPr>
        <w:t xml:space="preserve">.3.a) </w:t>
      </w:r>
      <w:r w:rsidR="00FE0B69">
        <w:rPr>
          <w:rFonts w:cs="Noto Sans"/>
          <w:szCs w:val="18"/>
        </w:rPr>
        <w:t>A</w:t>
      </w:r>
      <w:r w:rsidR="00FE0B69" w:rsidRPr="000F4D76">
        <w:rPr>
          <w:rFonts w:ascii="Noto Sans" w:hAnsi="Noto Sans" w:cs="Noto Sans"/>
          <w:sz w:val="18"/>
          <w:szCs w:val="18"/>
        </w:rPr>
        <w:t xml:space="preserve">l </w:t>
      </w:r>
      <w:r w:rsidR="00421EDE" w:rsidRPr="002B3F78">
        <w:rPr>
          <w:rFonts w:cs="Noto Sans"/>
          <w:szCs w:val="18"/>
        </w:rPr>
        <w:t>3</w:t>
      </w:r>
      <w:r w:rsidR="00421EDE">
        <w:rPr>
          <w:rFonts w:cs="Noto Sans"/>
          <w:szCs w:val="18"/>
        </w:rPr>
        <w:t>0</w:t>
      </w:r>
      <w:r w:rsidR="00421EDE" w:rsidRPr="002B3F78">
        <w:rPr>
          <w:rFonts w:cs="Noto Sans"/>
          <w:szCs w:val="18"/>
        </w:rPr>
        <w:t xml:space="preserve"> de </w:t>
      </w:r>
      <w:r w:rsidR="00421EDE">
        <w:rPr>
          <w:rFonts w:cs="Noto Sans"/>
          <w:szCs w:val="18"/>
        </w:rPr>
        <w:t>junio</w:t>
      </w:r>
      <w:r w:rsidR="00421EDE" w:rsidRPr="002B3F78">
        <w:rPr>
          <w:rFonts w:cs="Noto Sans"/>
          <w:szCs w:val="18"/>
        </w:rPr>
        <w:t xml:space="preserve"> </w:t>
      </w:r>
      <w:r w:rsidR="00FE0B69" w:rsidRPr="000F4D76">
        <w:rPr>
          <w:rFonts w:ascii="Noto Sans" w:hAnsi="Noto Sans" w:cs="Noto Sans"/>
          <w:sz w:val="18"/>
          <w:szCs w:val="18"/>
        </w:rPr>
        <w:t>de 2025 y 2024</w:t>
      </w:r>
      <w:r w:rsidR="006A5F0E" w:rsidRPr="00592DD1">
        <w:rPr>
          <w:rFonts w:ascii="Noto Sans" w:hAnsi="Noto Sans" w:cs="Noto Sans"/>
          <w:sz w:val="18"/>
          <w:szCs w:val="18"/>
          <w:lang w:val="es-ES"/>
        </w:rPr>
        <w:t>, los Servicios Profesionales, Científicos y Técnicos y Otros Servicios se integran como sigue:</w:t>
      </w:r>
    </w:p>
    <w:p w14:paraId="747B9890" w14:textId="77777777" w:rsidR="00F91EA6" w:rsidRPr="00CE6C23" w:rsidRDefault="00F91EA6" w:rsidP="00F91EA6">
      <w:pPr>
        <w:pStyle w:val="Prrafodelista"/>
        <w:spacing w:after="120" w:line="250" w:lineRule="exact"/>
        <w:ind w:left="714"/>
        <w:rPr>
          <w:rFonts w:ascii="Noto Sans" w:hAnsi="Noto Sans" w:cs="Noto Sans"/>
          <w:sz w:val="18"/>
          <w:szCs w:val="18"/>
          <w:lang w:val="es-ES"/>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1DBAFDBA"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498C36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338C057B"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1600F134"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9A48B5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8820FA7" w14:textId="73F6B04B"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09F2FFE" w14:textId="2AA63F98" w:rsidR="006A5F0E" w:rsidRPr="008E629A" w:rsidRDefault="00D62EBB"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11D7C" w:rsidRPr="005946C5" w14:paraId="4933DAB4" w14:textId="77777777" w:rsidTr="00ED10B2">
        <w:trPr>
          <w:trHeight w:val="283"/>
          <w:jc w:val="center"/>
        </w:trPr>
        <w:tc>
          <w:tcPr>
            <w:tcW w:w="5475" w:type="dxa"/>
            <w:tcBorders>
              <w:top w:val="triple" w:sz="12" w:space="0" w:color="A6802D"/>
              <w:left w:val="nil"/>
              <w:bottom w:val="nil"/>
              <w:right w:val="nil"/>
            </w:tcBorders>
            <w:shd w:val="clear" w:color="000000" w:fill="F2F2F2"/>
            <w:vAlign w:val="center"/>
          </w:tcPr>
          <w:p w14:paraId="3D3207C5" w14:textId="14D1299B" w:rsidR="00211D7C" w:rsidRPr="005832C1" w:rsidRDefault="00211D7C" w:rsidP="00211D7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Médicos </w:t>
            </w:r>
          </w:p>
        </w:tc>
        <w:tc>
          <w:tcPr>
            <w:tcW w:w="1960" w:type="dxa"/>
            <w:tcBorders>
              <w:top w:val="triple" w:sz="12" w:space="0" w:color="A6802D"/>
              <w:left w:val="nil"/>
              <w:bottom w:val="nil"/>
              <w:right w:val="nil"/>
            </w:tcBorders>
            <w:shd w:val="clear" w:color="000000" w:fill="F2F2F2"/>
            <w:vAlign w:val="center"/>
          </w:tcPr>
          <w:p w14:paraId="4360ED07" w14:textId="502AAF8A"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16,062,035,349.0</w:t>
            </w:r>
          </w:p>
        </w:tc>
        <w:tc>
          <w:tcPr>
            <w:tcW w:w="1961" w:type="dxa"/>
            <w:tcBorders>
              <w:top w:val="triple" w:sz="12" w:space="0" w:color="A6802D"/>
              <w:left w:val="nil"/>
              <w:bottom w:val="nil"/>
              <w:right w:val="nil"/>
            </w:tcBorders>
            <w:shd w:val="clear" w:color="000000" w:fill="F2F2F2"/>
            <w:vAlign w:val="center"/>
          </w:tcPr>
          <w:p w14:paraId="787204EC" w14:textId="74E1827B"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13,299,666,173.4</w:t>
            </w:r>
          </w:p>
        </w:tc>
      </w:tr>
      <w:tr w:rsidR="00211D7C" w:rsidRPr="00FC0913" w14:paraId="7A9CB1CE" w14:textId="77777777" w:rsidTr="00ED10B2">
        <w:trPr>
          <w:trHeight w:val="283"/>
          <w:jc w:val="center"/>
        </w:trPr>
        <w:tc>
          <w:tcPr>
            <w:tcW w:w="5475" w:type="dxa"/>
            <w:tcBorders>
              <w:top w:val="nil"/>
              <w:left w:val="nil"/>
              <w:bottom w:val="nil"/>
              <w:right w:val="nil"/>
            </w:tcBorders>
            <w:shd w:val="clear" w:color="000000" w:fill="F2F2F2"/>
            <w:vAlign w:val="center"/>
          </w:tcPr>
          <w:p w14:paraId="655A06BA" w14:textId="264621CE" w:rsidR="00211D7C" w:rsidRPr="005832C1" w:rsidRDefault="00211D7C" w:rsidP="00211D7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 Guarderías de Prestación Indirecta</w:t>
            </w:r>
          </w:p>
        </w:tc>
        <w:tc>
          <w:tcPr>
            <w:tcW w:w="1960" w:type="dxa"/>
            <w:tcBorders>
              <w:top w:val="nil"/>
              <w:left w:val="nil"/>
              <w:bottom w:val="nil"/>
              <w:right w:val="nil"/>
            </w:tcBorders>
            <w:shd w:val="clear" w:color="000000" w:fill="F2F2F2"/>
            <w:vAlign w:val="center"/>
          </w:tcPr>
          <w:p w14:paraId="49C0F785" w14:textId="5F75841B"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6,325,279,039.4</w:t>
            </w:r>
          </w:p>
        </w:tc>
        <w:tc>
          <w:tcPr>
            <w:tcW w:w="1961" w:type="dxa"/>
            <w:tcBorders>
              <w:top w:val="nil"/>
              <w:left w:val="nil"/>
              <w:bottom w:val="nil"/>
              <w:right w:val="nil"/>
            </w:tcBorders>
            <w:shd w:val="clear" w:color="000000" w:fill="F2F2F2"/>
            <w:vAlign w:val="center"/>
          </w:tcPr>
          <w:p w14:paraId="0AE47D04" w14:textId="25109AB1"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5,847,754,299.2</w:t>
            </w:r>
          </w:p>
        </w:tc>
      </w:tr>
      <w:tr w:rsidR="00211D7C" w:rsidRPr="00FC0913" w14:paraId="4DEFBCBF" w14:textId="77777777" w:rsidTr="00ED10B2">
        <w:trPr>
          <w:trHeight w:val="283"/>
          <w:jc w:val="center"/>
        </w:trPr>
        <w:tc>
          <w:tcPr>
            <w:tcW w:w="5475" w:type="dxa"/>
            <w:tcBorders>
              <w:top w:val="nil"/>
              <w:left w:val="nil"/>
              <w:bottom w:val="nil"/>
              <w:right w:val="nil"/>
            </w:tcBorders>
            <w:shd w:val="clear" w:color="000000" w:fill="F2F2F2"/>
            <w:vAlign w:val="center"/>
          </w:tcPr>
          <w:p w14:paraId="685E243E" w14:textId="692D265F" w:rsidR="00211D7C" w:rsidRPr="005832C1" w:rsidRDefault="00211D7C" w:rsidP="00211D7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de Vigilancia </w:t>
            </w:r>
          </w:p>
        </w:tc>
        <w:tc>
          <w:tcPr>
            <w:tcW w:w="1960" w:type="dxa"/>
            <w:tcBorders>
              <w:top w:val="nil"/>
              <w:left w:val="nil"/>
              <w:bottom w:val="nil"/>
              <w:right w:val="nil"/>
            </w:tcBorders>
            <w:shd w:val="clear" w:color="000000" w:fill="F2F2F2"/>
            <w:vAlign w:val="center"/>
          </w:tcPr>
          <w:p w14:paraId="7EA15AD3" w14:textId="111BEF1C"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1,849,135,337.9</w:t>
            </w:r>
          </w:p>
        </w:tc>
        <w:tc>
          <w:tcPr>
            <w:tcW w:w="1961" w:type="dxa"/>
            <w:tcBorders>
              <w:top w:val="nil"/>
              <w:left w:val="nil"/>
              <w:bottom w:val="nil"/>
              <w:right w:val="nil"/>
            </w:tcBorders>
            <w:shd w:val="clear" w:color="000000" w:fill="F2F2F2"/>
            <w:vAlign w:val="center"/>
          </w:tcPr>
          <w:p w14:paraId="0F265DF8" w14:textId="51272FCC"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1,500,259,020.8</w:t>
            </w:r>
          </w:p>
        </w:tc>
      </w:tr>
      <w:tr w:rsidR="00211D7C" w:rsidRPr="00FC0913" w14:paraId="22391A9F" w14:textId="77777777" w:rsidTr="00ED10B2">
        <w:trPr>
          <w:trHeight w:val="283"/>
          <w:jc w:val="center"/>
        </w:trPr>
        <w:tc>
          <w:tcPr>
            <w:tcW w:w="5475" w:type="dxa"/>
            <w:tcBorders>
              <w:top w:val="nil"/>
              <w:left w:val="nil"/>
              <w:bottom w:val="nil"/>
              <w:right w:val="nil"/>
            </w:tcBorders>
            <w:shd w:val="clear" w:color="000000" w:fill="F2F2F2"/>
            <w:vAlign w:val="center"/>
          </w:tcPr>
          <w:p w14:paraId="0128DA6F" w14:textId="40A4351A" w:rsidR="00211D7C" w:rsidRPr="005832C1" w:rsidRDefault="00211D7C" w:rsidP="00211D7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Derivados de Contratos de Asociación Público-Privada</w:t>
            </w:r>
          </w:p>
        </w:tc>
        <w:tc>
          <w:tcPr>
            <w:tcW w:w="1960" w:type="dxa"/>
            <w:tcBorders>
              <w:top w:val="nil"/>
              <w:left w:val="nil"/>
              <w:bottom w:val="nil"/>
              <w:right w:val="nil"/>
            </w:tcBorders>
            <w:shd w:val="clear" w:color="000000" w:fill="F2F2F2"/>
            <w:vAlign w:val="center"/>
          </w:tcPr>
          <w:p w14:paraId="17508F25" w14:textId="214D4D97"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671,690,512.0</w:t>
            </w:r>
          </w:p>
        </w:tc>
        <w:tc>
          <w:tcPr>
            <w:tcW w:w="1961" w:type="dxa"/>
            <w:tcBorders>
              <w:top w:val="nil"/>
              <w:left w:val="nil"/>
              <w:bottom w:val="nil"/>
              <w:right w:val="nil"/>
            </w:tcBorders>
            <w:shd w:val="clear" w:color="000000" w:fill="F2F2F2"/>
            <w:vAlign w:val="center"/>
          </w:tcPr>
          <w:p w14:paraId="0890487A" w14:textId="63B75C18"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3,024,523,778.0</w:t>
            </w:r>
          </w:p>
        </w:tc>
      </w:tr>
      <w:tr w:rsidR="00211D7C" w:rsidRPr="00FC0913" w14:paraId="61EA8D81" w14:textId="77777777" w:rsidTr="00ED10B2">
        <w:trPr>
          <w:trHeight w:val="283"/>
          <w:jc w:val="center"/>
        </w:trPr>
        <w:tc>
          <w:tcPr>
            <w:tcW w:w="5475" w:type="dxa"/>
            <w:tcBorders>
              <w:top w:val="nil"/>
              <w:left w:val="nil"/>
              <w:bottom w:val="nil"/>
              <w:right w:val="nil"/>
            </w:tcBorders>
            <w:shd w:val="clear" w:color="000000" w:fill="F2F2F2"/>
            <w:vAlign w:val="center"/>
          </w:tcPr>
          <w:p w14:paraId="03BEFAA1" w14:textId="75D4A853" w:rsidR="00211D7C" w:rsidRPr="005832C1" w:rsidRDefault="00211D7C" w:rsidP="00211D7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Profesionales y Técnicos</w:t>
            </w:r>
          </w:p>
        </w:tc>
        <w:tc>
          <w:tcPr>
            <w:tcW w:w="1960" w:type="dxa"/>
            <w:tcBorders>
              <w:top w:val="nil"/>
              <w:left w:val="nil"/>
              <w:bottom w:val="nil"/>
              <w:right w:val="nil"/>
            </w:tcBorders>
            <w:shd w:val="clear" w:color="000000" w:fill="F2F2F2"/>
            <w:vAlign w:val="center"/>
          </w:tcPr>
          <w:p w14:paraId="50A19870" w14:textId="340F6A64"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648,547,772.8</w:t>
            </w:r>
          </w:p>
        </w:tc>
        <w:tc>
          <w:tcPr>
            <w:tcW w:w="1961" w:type="dxa"/>
            <w:tcBorders>
              <w:top w:val="nil"/>
              <w:left w:val="nil"/>
              <w:bottom w:val="nil"/>
              <w:right w:val="nil"/>
            </w:tcBorders>
            <w:shd w:val="clear" w:color="000000" w:fill="F2F2F2"/>
            <w:vAlign w:val="center"/>
          </w:tcPr>
          <w:p w14:paraId="6261EDBE" w14:textId="6C19C942"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1,160,314,667.0</w:t>
            </w:r>
          </w:p>
        </w:tc>
      </w:tr>
      <w:tr w:rsidR="00211D7C" w:rsidRPr="00FC0913" w14:paraId="245BC59F" w14:textId="77777777" w:rsidTr="00ED10B2">
        <w:trPr>
          <w:trHeight w:val="283"/>
          <w:jc w:val="center"/>
        </w:trPr>
        <w:tc>
          <w:tcPr>
            <w:tcW w:w="5475" w:type="dxa"/>
            <w:tcBorders>
              <w:top w:val="nil"/>
              <w:left w:val="nil"/>
              <w:bottom w:val="nil"/>
              <w:right w:val="nil"/>
            </w:tcBorders>
            <w:shd w:val="clear" w:color="000000" w:fill="F2F2F2"/>
            <w:vAlign w:val="center"/>
          </w:tcPr>
          <w:p w14:paraId="7E4374E3" w14:textId="1323AD66" w:rsidR="00211D7C" w:rsidRPr="005832C1" w:rsidRDefault="00211D7C" w:rsidP="00211D7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Servicios Funerarios</w:t>
            </w:r>
          </w:p>
        </w:tc>
        <w:tc>
          <w:tcPr>
            <w:tcW w:w="1960" w:type="dxa"/>
            <w:tcBorders>
              <w:top w:val="nil"/>
              <w:left w:val="nil"/>
              <w:bottom w:val="nil"/>
              <w:right w:val="nil"/>
            </w:tcBorders>
            <w:shd w:val="clear" w:color="000000" w:fill="F2F2F2"/>
            <w:vAlign w:val="center"/>
          </w:tcPr>
          <w:p w14:paraId="7CE81F4C" w14:textId="3684B69E"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17,985,326.8</w:t>
            </w:r>
          </w:p>
        </w:tc>
        <w:tc>
          <w:tcPr>
            <w:tcW w:w="1961" w:type="dxa"/>
            <w:tcBorders>
              <w:top w:val="nil"/>
              <w:left w:val="nil"/>
              <w:bottom w:val="nil"/>
              <w:right w:val="nil"/>
            </w:tcBorders>
            <w:shd w:val="clear" w:color="000000" w:fill="F2F2F2"/>
            <w:vAlign w:val="center"/>
          </w:tcPr>
          <w:p w14:paraId="7005AA1B" w14:textId="746658CE" w:rsidR="00211D7C" w:rsidRPr="005832C1" w:rsidRDefault="00211D7C" w:rsidP="00211D7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24,096,232.3</w:t>
            </w:r>
          </w:p>
        </w:tc>
      </w:tr>
      <w:tr w:rsidR="00211D7C" w:rsidRPr="005946C5" w14:paraId="65FE8AC3" w14:textId="77777777" w:rsidTr="00ED10B2">
        <w:trPr>
          <w:trHeight w:val="283"/>
          <w:jc w:val="center"/>
        </w:trPr>
        <w:tc>
          <w:tcPr>
            <w:tcW w:w="5475" w:type="dxa"/>
            <w:tcBorders>
              <w:top w:val="nil"/>
              <w:left w:val="nil"/>
              <w:bottom w:val="single" w:sz="12" w:space="0" w:color="A6802D"/>
              <w:right w:val="nil"/>
            </w:tcBorders>
            <w:shd w:val="clear" w:color="000000" w:fill="F2F2F2"/>
            <w:vAlign w:val="center"/>
          </w:tcPr>
          <w:p w14:paraId="6FB92952" w14:textId="09D44986" w:rsidR="00211D7C" w:rsidRPr="005832C1" w:rsidRDefault="00211D7C" w:rsidP="00211D7C">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Profesionales, Científicos y Técnicos y Otros Servicios </w:t>
            </w:r>
          </w:p>
        </w:tc>
        <w:tc>
          <w:tcPr>
            <w:tcW w:w="1960" w:type="dxa"/>
            <w:tcBorders>
              <w:top w:val="nil"/>
              <w:left w:val="nil"/>
              <w:bottom w:val="single" w:sz="12" w:space="0" w:color="A6802D"/>
              <w:right w:val="nil"/>
            </w:tcBorders>
            <w:shd w:val="clear" w:color="000000" w:fill="F2F2F2"/>
            <w:vAlign w:val="center"/>
          </w:tcPr>
          <w:p w14:paraId="2D731059" w14:textId="17F591C2" w:rsidR="00211D7C" w:rsidRPr="005832C1" w:rsidRDefault="00211D7C" w:rsidP="00211D7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25,574,673,337.9</w:t>
            </w:r>
          </w:p>
        </w:tc>
        <w:tc>
          <w:tcPr>
            <w:tcW w:w="1961" w:type="dxa"/>
            <w:tcBorders>
              <w:top w:val="nil"/>
              <w:left w:val="nil"/>
              <w:bottom w:val="single" w:sz="12" w:space="0" w:color="A6802D"/>
              <w:right w:val="nil"/>
            </w:tcBorders>
            <w:shd w:val="clear" w:color="000000" w:fill="F2F2F2"/>
            <w:vAlign w:val="center"/>
          </w:tcPr>
          <w:p w14:paraId="3246ECFE" w14:textId="7BD03A43" w:rsidR="00211D7C" w:rsidRPr="005832C1" w:rsidRDefault="00211D7C" w:rsidP="00211D7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24,856,614,170.7</w:t>
            </w:r>
          </w:p>
        </w:tc>
      </w:tr>
      <w:tr w:rsidR="006A5F0E" w:rsidRPr="00274555" w14:paraId="70DC85B0" w14:textId="77777777" w:rsidTr="00ED10B2">
        <w:trPr>
          <w:trHeight w:val="226"/>
          <w:jc w:val="center"/>
        </w:trPr>
        <w:tc>
          <w:tcPr>
            <w:tcW w:w="5475" w:type="dxa"/>
            <w:tcBorders>
              <w:top w:val="single" w:sz="12" w:space="0" w:color="A6802D"/>
              <w:left w:val="nil"/>
              <w:right w:val="nil"/>
            </w:tcBorders>
            <w:vAlign w:val="center"/>
          </w:tcPr>
          <w:p w14:paraId="711E476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31A6688D"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5805C828"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5701A500" w14:textId="77777777" w:rsidR="003A52B3" w:rsidRPr="00F91EA6" w:rsidRDefault="003A52B3" w:rsidP="00F91EA6">
      <w:pPr>
        <w:spacing w:after="120" w:line="250" w:lineRule="exact"/>
        <w:rPr>
          <w:rFonts w:ascii="Noto Sans" w:hAnsi="Noto Sans" w:cs="Noto Sans"/>
          <w:sz w:val="18"/>
          <w:szCs w:val="18"/>
        </w:rPr>
      </w:pPr>
    </w:p>
    <w:p w14:paraId="7523D8C6" w14:textId="77777777" w:rsidR="006A5F0E" w:rsidRDefault="005832C1" w:rsidP="005832C1">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2</w:t>
      </w:r>
      <w:r w:rsidR="006A5F0E">
        <w:rPr>
          <w:rFonts w:ascii="Noto Sans" w:hAnsi="Noto Sans" w:cs="Noto Sans"/>
          <w:sz w:val="18"/>
          <w:szCs w:val="18"/>
        </w:rPr>
        <w:t xml:space="preserve">.4 </w:t>
      </w:r>
      <w:r w:rsidRPr="005832C1">
        <w:rPr>
          <w:rFonts w:ascii="Noto Sans" w:hAnsi="Noto Sans" w:cs="Noto Sans"/>
          <w:sz w:val="18"/>
          <w:szCs w:val="18"/>
        </w:rPr>
        <w:t>Pensiones y Jubilaciones</w:t>
      </w:r>
    </w:p>
    <w:p w14:paraId="7B4013B8" w14:textId="22B9428C" w:rsidR="006A5F0E" w:rsidRDefault="00FE0B69" w:rsidP="006A5F0E">
      <w:pPr>
        <w:spacing w:after="120" w:line="250" w:lineRule="exact"/>
        <w:rPr>
          <w:rFonts w:ascii="Noto Sans" w:hAnsi="Noto Sans" w:cs="Noto Sans"/>
          <w:sz w:val="18"/>
          <w:szCs w:val="18"/>
        </w:rPr>
      </w:pPr>
      <w:r>
        <w:rPr>
          <w:rFonts w:cs="Noto Sans"/>
          <w:szCs w:val="18"/>
        </w:rPr>
        <w:t>A</w:t>
      </w:r>
      <w:r w:rsidRPr="000F4D76">
        <w:rPr>
          <w:rFonts w:ascii="Noto Sans" w:hAnsi="Noto Sans" w:cs="Noto Sans"/>
          <w:sz w:val="18"/>
          <w:szCs w:val="18"/>
        </w:rPr>
        <w:t xml:space="preserve">l </w:t>
      </w:r>
      <w:r w:rsidR="0075241B" w:rsidRPr="002B3F78">
        <w:rPr>
          <w:rFonts w:cs="Noto Sans"/>
          <w:szCs w:val="18"/>
        </w:rPr>
        <w:t>3</w:t>
      </w:r>
      <w:r w:rsidR="0075241B">
        <w:rPr>
          <w:rFonts w:cs="Noto Sans"/>
          <w:szCs w:val="18"/>
        </w:rPr>
        <w:t>0</w:t>
      </w:r>
      <w:r w:rsidR="0075241B" w:rsidRPr="002B3F78">
        <w:rPr>
          <w:rFonts w:cs="Noto Sans"/>
          <w:szCs w:val="18"/>
        </w:rPr>
        <w:t xml:space="preserve"> de </w:t>
      </w:r>
      <w:r w:rsidR="0075241B">
        <w:rPr>
          <w:rFonts w:cs="Noto Sans"/>
          <w:szCs w:val="18"/>
        </w:rPr>
        <w:t>junio</w:t>
      </w:r>
      <w:r w:rsidR="0075241B" w:rsidRPr="002B3F78">
        <w:rPr>
          <w:rFonts w:cs="Noto Sans"/>
          <w:szCs w:val="18"/>
        </w:rPr>
        <w:t xml:space="preserve"> </w:t>
      </w:r>
      <w:r w:rsidRPr="000F4D76">
        <w:rPr>
          <w:rFonts w:ascii="Noto Sans" w:hAnsi="Noto Sans" w:cs="Noto Sans"/>
          <w:sz w:val="18"/>
          <w:szCs w:val="18"/>
        </w:rPr>
        <w:t>de 2025 y 2024</w:t>
      </w:r>
      <w:r w:rsidR="006A5F0E" w:rsidRPr="00355680">
        <w:rPr>
          <w:rFonts w:ascii="Noto Sans" w:hAnsi="Noto Sans" w:cs="Noto Sans"/>
          <w:sz w:val="18"/>
          <w:szCs w:val="18"/>
        </w:rPr>
        <w:t>, las Pensiones y Jubilaciones están integradas como se muestra a continuación:</w:t>
      </w:r>
    </w:p>
    <w:p w14:paraId="64417A58" w14:textId="77777777" w:rsidR="00F91EA6" w:rsidRDefault="00F91EA6"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1629A88A"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EFF6F97"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868C3B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614C5863"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733742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BFCA51B" w14:textId="092E79F3"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656F6F1" w14:textId="00DD4EE9" w:rsidR="006A5F0E" w:rsidRPr="008E629A" w:rsidRDefault="006A5F0E" w:rsidP="00CF27A9">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CF27A9">
              <w:rPr>
                <w:rFonts w:ascii="Noto Sans" w:eastAsia="Times New Roman" w:hAnsi="Noto Sans" w:cs="Noto Sans"/>
                <w:b/>
                <w:bCs/>
                <w:color w:val="FFFFFF"/>
                <w:sz w:val="16"/>
                <w:szCs w:val="16"/>
                <w:lang w:eastAsia="es-MX"/>
              </w:rPr>
              <w:t>4</w:t>
            </w:r>
          </w:p>
        </w:tc>
      </w:tr>
      <w:tr w:rsidR="009F23B5" w:rsidRPr="005946C5" w14:paraId="0DA2E81A" w14:textId="77777777" w:rsidTr="00F91EA6">
        <w:trPr>
          <w:trHeight w:val="238"/>
          <w:jc w:val="center"/>
        </w:trPr>
        <w:tc>
          <w:tcPr>
            <w:tcW w:w="5475" w:type="dxa"/>
            <w:tcBorders>
              <w:top w:val="triple" w:sz="12" w:space="0" w:color="A6802D"/>
              <w:left w:val="nil"/>
              <w:bottom w:val="nil"/>
              <w:right w:val="nil"/>
            </w:tcBorders>
            <w:shd w:val="clear" w:color="000000" w:fill="F2F2F2"/>
            <w:vAlign w:val="center"/>
          </w:tcPr>
          <w:p w14:paraId="48E7A9D4" w14:textId="0D4875B6" w:rsidR="009F23B5" w:rsidRPr="005832C1" w:rsidRDefault="009F23B5" w:rsidP="009F23B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Jubilación</w:t>
            </w:r>
          </w:p>
        </w:tc>
        <w:tc>
          <w:tcPr>
            <w:tcW w:w="1960" w:type="dxa"/>
            <w:tcBorders>
              <w:top w:val="triple" w:sz="12" w:space="0" w:color="A6802D"/>
              <w:left w:val="nil"/>
              <w:bottom w:val="nil"/>
              <w:right w:val="nil"/>
            </w:tcBorders>
            <w:shd w:val="clear" w:color="000000" w:fill="F2F2F2"/>
            <w:vAlign w:val="center"/>
          </w:tcPr>
          <w:p w14:paraId="7A6AF803" w14:textId="33C86B5C" w:rsidR="009F23B5" w:rsidRPr="005832C1" w:rsidRDefault="009F23B5" w:rsidP="009F23B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80,304,736,878.7</w:t>
            </w:r>
          </w:p>
        </w:tc>
        <w:tc>
          <w:tcPr>
            <w:tcW w:w="1961" w:type="dxa"/>
            <w:tcBorders>
              <w:top w:val="triple" w:sz="12" w:space="0" w:color="A6802D"/>
              <w:left w:val="nil"/>
              <w:bottom w:val="nil"/>
              <w:right w:val="nil"/>
            </w:tcBorders>
            <w:shd w:val="clear" w:color="000000" w:fill="F2F2F2"/>
            <w:vAlign w:val="center"/>
          </w:tcPr>
          <w:p w14:paraId="74B98EA9" w14:textId="5948F8EE" w:rsidR="009F23B5" w:rsidRPr="005832C1" w:rsidRDefault="009F23B5" w:rsidP="009F23B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74,040,738,004.9</w:t>
            </w:r>
          </w:p>
        </w:tc>
      </w:tr>
      <w:tr w:rsidR="009F23B5" w:rsidRPr="00FC0913" w14:paraId="24AD1082" w14:textId="77777777" w:rsidTr="00F91EA6">
        <w:trPr>
          <w:trHeight w:val="238"/>
          <w:jc w:val="center"/>
        </w:trPr>
        <w:tc>
          <w:tcPr>
            <w:tcW w:w="5475" w:type="dxa"/>
            <w:tcBorders>
              <w:top w:val="nil"/>
              <w:left w:val="nil"/>
              <w:bottom w:val="nil"/>
              <w:right w:val="nil"/>
            </w:tcBorders>
            <w:shd w:val="clear" w:color="000000" w:fill="F2F2F2"/>
            <w:vAlign w:val="center"/>
          </w:tcPr>
          <w:p w14:paraId="3DAEE6EA" w14:textId="2B5527A9" w:rsidR="009F23B5" w:rsidRPr="005832C1" w:rsidRDefault="009F23B5" w:rsidP="009F23B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Otras Pensiones y Jubilaciones </w:t>
            </w:r>
            <w:r>
              <w:rPr>
                <w:rFonts w:ascii="Noto Sans" w:hAnsi="Noto Sans" w:cs="Noto Sans"/>
                <w:b/>
                <w:bCs/>
                <w:color w:val="000000"/>
                <w:sz w:val="15"/>
                <w:szCs w:val="15"/>
              </w:rPr>
              <w:t>(2.4.a)</w:t>
            </w:r>
            <w:r>
              <w:rPr>
                <w:rFonts w:ascii="Noto Sans" w:hAnsi="Noto Sans" w:cs="Noto Sans"/>
                <w:color w:val="000000"/>
                <w:sz w:val="15"/>
                <w:szCs w:val="15"/>
              </w:rPr>
              <w:t xml:space="preserve"> </w:t>
            </w:r>
          </w:p>
        </w:tc>
        <w:tc>
          <w:tcPr>
            <w:tcW w:w="1960" w:type="dxa"/>
            <w:tcBorders>
              <w:top w:val="nil"/>
              <w:left w:val="nil"/>
              <w:bottom w:val="nil"/>
              <w:right w:val="nil"/>
            </w:tcBorders>
            <w:shd w:val="clear" w:color="000000" w:fill="F2F2F2"/>
            <w:vAlign w:val="center"/>
          </w:tcPr>
          <w:p w14:paraId="79DD850F" w14:textId="30A7882A" w:rsidR="009F23B5" w:rsidRPr="005832C1" w:rsidRDefault="009F23B5" w:rsidP="009F23B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26,701,218,883.2</w:t>
            </w:r>
          </w:p>
        </w:tc>
        <w:tc>
          <w:tcPr>
            <w:tcW w:w="1961" w:type="dxa"/>
            <w:tcBorders>
              <w:top w:val="nil"/>
              <w:left w:val="nil"/>
              <w:bottom w:val="nil"/>
              <w:right w:val="nil"/>
            </w:tcBorders>
            <w:shd w:val="clear" w:color="000000" w:fill="F2F2F2"/>
            <w:vAlign w:val="center"/>
          </w:tcPr>
          <w:p w14:paraId="4246796D" w14:textId="201C304C" w:rsidR="009F23B5" w:rsidRPr="005832C1" w:rsidRDefault="009F23B5" w:rsidP="009F23B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24,457,385,605.8</w:t>
            </w:r>
          </w:p>
        </w:tc>
      </w:tr>
      <w:tr w:rsidR="009F23B5" w:rsidRPr="005946C5" w14:paraId="1E3855FC" w14:textId="77777777" w:rsidTr="00F91EA6">
        <w:trPr>
          <w:trHeight w:val="238"/>
          <w:jc w:val="center"/>
        </w:trPr>
        <w:tc>
          <w:tcPr>
            <w:tcW w:w="5475" w:type="dxa"/>
            <w:tcBorders>
              <w:top w:val="nil"/>
              <w:left w:val="nil"/>
              <w:bottom w:val="single" w:sz="12" w:space="0" w:color="A6802D"/>
              <w:right w:val="nil"/>
            </w:tcBorders>
            <w:shd w:val="clear" w:color="000000" w:fill="F2F2F2"/>
            <w:vAlign w:val="center"/>
          </w:tcPr>
          <w:p w14:paraId="1E5F10C3" w14:textId="6F1997CE" w:rsidR="009F23B5" w:rsidRPr="005832C1" w:rsidRDefault="009F23B5" w:rsidP="009F23B5">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Pensiones y Jubilaciones</w:t>
            </w:r>
          </w:p>
        </w:tc>
        <w:tc>
          <w:tcPr>
            <w:tcW w:w="1960" w:type="dxa"/>
            <w:tcBorders>
              <w:top w:val="nil"/>
              <w:left w:val="nil"/>
              <w:bottom w:val="single" w:sz="12" w:space="0" w:color="A6802D"/>
              <w:right w:val="nil"/>
            </w:tcBorders>
            <w:shd w:val="clear" w:color="000000" w:fill="F2F2F2"/>
            <w:vAlign w:val="center"/>
          </w:tcPr>
          <w:p w14:paraId="4012D1E5" w14:textId="5BCC28AA" w:rsidR="009F23B5" w:rsidRPr="005832C1" w:rsidRDefault="009F23B5" w:rsidP="009F23B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107,005,955,761.9</w:t>
            </w:r>
          </w:p>
        </w:tc>
        <w:tc>
          <w:tcPr>
            <w:tcW w:w="1961" w:type="dxa"/>
            <w:tcBorders>
              <w:top w:val="nil"/>
              <w:left w:val="nil"/>
              <w:bottom w:val="single" w:sz="12" w:space="0" w:color="A6802D"/>
              <w:right w:val="nil"/>
            </w:tcBorders>
            <w:shd w:val="clear" w:color="000000" w:fill="F2F2F2"/>
            <w:vAlign w:val="center"/>
          </w:tcPr>
          <w:p w14:paraId="2D0B1BDA" w14:textId="4D29CEC5" w:rsidR="009F23B5" w:rsidRPr="005832C1" w:rsidRDefault="009F23B5" w:rsidP="009F23B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98,498,123,610.7</w:t>
            </w:r>
          </w:p>
        </w:tc>
      </w:tr>
      <w:tr w:rsidR="006A5F0E" w:rsidRPr="00274555" w14:paraId="00194884" w14:textId="77777777" w:rsidTr="00ED10B2">
        <w:trPr>
          <w:trHeight w:val="20"/>
          <w:jc w:val="center"/>
        </w:trPr>
        <w:tc>
          <w:tcPr>
            <w:tcW w:w="5475" w:type="dxa"/>
            <w:tcBorders>
              <w:top w:val="single" w:sz="12" w:space="0" w:color="A6802D"/>
              <w:left w:val="nil"/>
              <w:right w:val="nil"/>
            </w:tcBorders>
            <w:vAlign w:val="center"/>
          </w:tcPr>
          <w:p w14:paraId="72476B93"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38F6EE19"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4190D1F"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64FF92F1" w14:textId="5CE5EBD2" w:rsidR="00F91EA6" w:rsidRDefault="00081A4E" w:rsidP="00081A4E">
      <w:pPr>
        <w:pStyle w:val="TEXTONORMAL"/>
        <w:tabs>
          <w:tab w:val="left" w:pos="6030"/>
        </w:tabs>
      </w:pPr>
      <w:r>
        <w:tab/>
      </w:r>
    </w:p>
    <w:p w14:paraId="3BB52116" w14:textId="77777777" w:rsidR="006A5F0E" w:rsidRDefault="006A5F0E" w:rsidP="006A5F0E">
      <w:pPr>
        <w:pStyle w:val="TEXTONORMAL"/>
      </w:pPr>
      <w:r>
        <w:t>El Instituto otorga a sus empleados el plan de pensiones denominado Régimen de Jubilaciones y Pensiones, el cual se encuentra inserto en su CCT.</w:t>
      </w:r>
    </w:p>
    <w:p w14:paraId="2EC321EF" w14:textId="77777777" w:rsidR="006A5F0E" w:rsidRDefault="006A5F0E" w:rsidP="006A5F0E">
      <w:pPr>
        <w:pStyle w:val="TEXTONORMAL"/>
      </w:pPr>
    </w:p>
    <w:p w14:paraId="0EF9989B" w14:textId="77777777" w:rsidR="006A5F0E" w:rsidRDefault="00CE6C23" w:rsidP="00D461EC">
      <w:pPr>
        <w:pStyle w:val="TEXTONORMAL"/>
        <w:numPr>
          <w:ilvl w:val="0"/>
          <w:numId w:val="26"/>
        </w:numPr>
        <w:ind w:left="714" w:hanging="357"/>
      </w:pPr>
      <w:r>
        <w:t>2</w:t>
      </w:r>
      <w:r w:rsidR="006A5F0E" w:rsidRPr="00355680">
        <w:t>.4.a) Las Otras Pensiones y Jubilaciones están integradas como se muestra a continuación:</w:t>
      </w:r>
    </w:p>
    <w:p w14:paraId="1860306D" w14:textId="77777777" w:rsidR="00F91EA6" w:rsidRDefault="00F91EA6" w:rsidP="00F91EA6">
      <w:pPr>
        <w:pStyle w:val="TEXTONORMAL"/>
        <w:ind w:left="357"/>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52927D51"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D2E8F54"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3E3D592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3DAE38FA"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8DE7D31"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A75A8CD" w14:textId="6D4A4476"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3ED99ECF" w14:textId="6017994A"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E776FC" w:rsidRPr="005946C5" w14:paraId="047A3F75" w14:textId="77777777" w:rsidTr="00F91EA6">
        <w:trPr>
          <w:trHeight w:val="238"/>
          <w:jc w:val="center"/>
        </w:trPr>
        <w:tc>
          <w:tcPr>
            <w:tcW w:w="5475" w:type="dxa"/>
            <w:tcBorders>
              <w:top w:val="triple" w:sz="12" w:space="0" w:color="A6802D"/>
              <w:left w:val="nil"/>
              <w:bottom w:val="nil"/>
              <w:right w:val="nil"/>
            </w:tcBorders>
            <w:shd w:val="clear" w:color="000000" w:fill="F2F2F2"/>
            <w:vAlign w:val="center"/>
          </w:tcPr>
          <w:p w14:paraId="5FCC9720" w14:textId="35FBD3E0" w:rsidR="00E776FC" w:rsidRPr="00CE6C23" w:rsidRDefault="00E776FC" w:rsidP="00E776F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Otras Prestaciones Económicas </w:t>
            </w:r>
            <w:r>
              <w:rPr>
                <w:rFonts w:ascii="Noto Sans" w:hAnsi="Noto Sans" w:cs="Noto Sans"/>
                <w:b/>
                <w:bCs/>
                <w:color w:val="000000"/>
                <w:sz w:val="15"/>
                <w:szCs w:val="15"/>
              </w:rPr>
              <w:t>(2.4.a.1)</w:t>
            </w:r>
          </w:p>
        </w:tc>
        <w:tc>
          <w:tcPr>
            <w:tcW w:w="1960" w:type="dxa"/>
            <w:tcBorders>
              <w:top w:val="triple" w:sz="12" w:space="0" w:color="A6802D"/>
              <w:left w:val="nil"/>
              <w:bottom w:val="nil"/>
              <w:right w:val="nil"/>
            </w:tcBorders>
            <w:shd w:val="clear" w:color="000000" w:fill="F2F2F2"/>
            <w:vAlign w:val="center"/>
          </w:tcPr>
          <w:p w14:paraId="46CE8B54" w14:textId="7A223E1F" w:rsidR="00E776FC" w:rsidRPr="00CE6C23" w:rsidRDefault="00E776FC" w:rsidP="00E776F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17,289,074,406.2</w:t>
            </w:r>
          </w:p>
        </w:tc>
        <w:tc>
          <w:tcPr>
            <w:tcW w:w="1961" w:type="dxa"/>
            <w:tcBorders>
              <w:top w:val="triple" w:sz="12" w:space="0" w:color="A6802D"/>
              <w:left w:val="nil"/>
              <w:bottom w:val="nil"/>
              <w:right w:val="nil"/>
            </w:tcBorders>
            <w:shd w:val="clear" w:color="000000" w:fill="F2F2F2"/>
            <w:vAlign w:val="center"/>
          </w:tcPr>
          <w:p w14:paraId="7CC3F426" w14:textId="7F073674" w:rsidR="00E776FC" w:rsidRPr="00CE6C23" w:rsidRDefault="00E776FC" w:rsidP="00E776F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15,427,673,209.2</w:t>
            </w:r>
          </w:p>
        </w:tc>
      </w:tr>
      <w:tr w:rsidR="00E776FC" w:rsidRPr="00FC0913" w14:paraId="2D8ABAAB" w14:textId="77777777" w:rsidTr="00F91EA6">
        <w:trPr>
          <w:trHeight w:val="238"/>
          <w:jc w:val="center"/>
        </w:trPr>
        <w:tc>
          <w:tcPr>
            <w:tcW w:w="5475" w:type="dxa"/>
            <w:tcBorders>
              <w:top w:val="nil"/>
              <w:left w:val="nil"/>
              <w:bottom w:val="nil"/>
              <w:right w:val="nil"/>
            </w:tcBorders>
            <w:shd w:val="clear" w:color="000000" w:fill="F2F2F2"/>
            <w:vAlign w:val="center"/>
          </w:tcPr>
          <w:p w14:paraId="60E12379" w14:textId="2BD86AC6" w:rsidR="00E776FC" w:rsidRPr="00CE6C23" w:rsidRDefault="00E776FC" w:rsidP="00E776F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Sumas Aseguradas </w:t>
            </w:r>
            <w:r>
              <w:rPr>
                <w:rFonts w:ascii="Noto Sans" w:hAnsi="Noto Sans" w:cs="Noto Sans"/>
                <w:b/>
                <w:bCs/>
                <w:color w:val="000000"/>
                <w:sz w:val="15"/>
                <w:szCs w:val="15"/>
              </w:rPr>
              <w:t>(2.4.a.2)</w:t>
            </w:r>
          </w:p>
        </w:tc>
        <w:tc>
          <w:tcPr>
            <w:tcW w:w="1960" w:type="dxa"/>
            <w:tcBorders>
              <w:top w:val="nil"/>
              <w:left w:val="nil"/>
              <w:bottom w:val="nil"/>
              <w:right w:val="nil"/>
            </w:tcBorders>
            <w:shd w:val="clear" w:color="000000" w:fill="F2F2F2"/>
            <w:vAlign w:val="center"/>
          </w:tcPr>
          <w:p w14:paraId="381ACD19" w14:textId="52D20F4C" w:rsidR="00E776FC" w:rsidRPr="00CE6C23" w:rsidRDefault="00E776FC" w:rsidP="00E776F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9,412,144,477.0</w:t>
            </w:r>
          </w:p>
        </w:tc>
        <w:tc>
          <w:tcPr>
            <w:tcW w:w="1961" w:type="dxa"/>
            <w:tcBorders>
              <w:top w:val="nil"/>
              <w:left w:val="nil"/>
              <w:bottom w:val="nil"/>
              <w:right w:val="nil"/>
            </w:tcBorders>
            <w:shd w:val="clear" w:color="000000" w:fill="F2F2F2"/>
            <w:vAlign w:val="center"/>
          </w:tcPr>
          <w:p w14:paraId="773B0063" w14:textId="58EC9E18" w:rsidR="00E776FC" w:rsidRPr="00CE6C23" w:rsidRDefault="00E776FC" w:rsidP="00E776F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9,029,712,396.6</w:t>
            </w:r>
          </w:p>
        </w:tc>
      </w:tr>
      <w:tr w:rsidR="00E776FC" w:rsidRPr="005946C5" w14:paraId="0D23B463" w14:textId="77777777" w:rsidTr="00F91EA6">
        <w:trPr>
          <w:trHeight w:val="238"/>
          <w:jc w:val="center"/>
        </w:trPr>
        <w:tc>
          <w:tcPr>
            <w:tcW w:w="5475" w:type="dxa"/>
            <w:tcBorders>
              <w:top w:val="nil"/>
              <w:left w:val="nil"/>
              <w:bottom w:val="single" w:sz="12" w:space="0" w:color="A6802D"/>
              <w:right w:val="nil"/>
            </w:tcBorders>
            <w:shd w:val="clear" w:color="000000" w:fill="F2F2F2"/>
            <w:vAlign w:val="center"/>
          </w:tcPr>
          <w:p w14:paraId="3E2810C2" w14:textId="7527CF9F" w:rsidR="00E776FC" w:rsidRPr="00CE6C23" w:rsidRDefault="00E776FC" w:rsidP="00E776FC">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Otras Pensiones y Jubilaciones</w:t>
            </w:r>
          </w:p>
        </w:tc>
        <w:tc>
          <w:tcPr>
            <w:tcW w:w="1960" w:type="dxa"/>
            <w:tcBorders>
              <w:top w:val="nil"/>
              <w:left w:val="nil"/>
              <w:bottom w:val="single" w:sz="12" w:space="0" w:color="A6802D"/>
              <w:right w:val="nil"/>
            </w:tcBorders>
            <w:shd w:val="clear" w:color="000000" w:fill="F2F2F2"/>
            <w:vAlign w:val="center"/>
          </w:tcPr>
          <w:p w14:paraId="2217A5C4" w14:textId="487AF4D5" w:rsidR="00E776FC" w:rsidRPr="00CE6C23" w:rsidRDefault="00E776FC" w:rsidP="00E776F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26,701,218,883.2</w:t>
            </w:r>
          </w:p>
        </w:tc>
        <w:tc>
          <w:tcPr>
            <w:tcW w:w="1961" w:type="dxa"/>
            <w:tcBorders>
              <w:top w:val="nil"/>
              <w:left w:val="nil"/>
              <w:bottom w:val="single" w:sz="12" w:space="0" w:color="A6802D"/>
              <w:right w:val="nil"/>
            </w:tcBorders>
            <w:shd w:val="clear" w:color="000000" w:fill="F2F2F2"/>
            <w:vAlign w:val="center"/>
          </w:tcPr>
          <w:p w14:paraId="003F0807" w14:textId="5ACB74F0" w:rsidR="00E776FC" w:rsidRPr="00CE6C23" w:rsidRDefault="00E776FC" w:rsidP="00E776F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24,457,385,605.8</w:t>
            </w:r>
          </w:p>
        </w:tc>
      </w:tr>
      <w:tr w:rsidR="006A5F0E" w:rsidRPr="00274555" w14:paraId="1ADC476D" w14:textId="77777777" w:rsidTr="00ED10B2">
        <w:trPr>
          <w:trHeight w:val="20"/>
          <w:jc w:val="center"/>
        </w:trPr>
        <w:tc>
          <w:tcPr>
            <w:tcW w:w="5475" w:type="dxa"/>
            <w:tcBorders>
              <w:top w:val="single" w:sz="12" w:space="0" w:color="A6802D"/>
              <w:left w:val="nil"/>
              <w:right w:val="nil"/>
            </w:tcBorders>
            <w:vAlign w:val="center"/>
          </w:tcPr>
          <w:p w14:paraId="2DCBE427"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1FC7824"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4D99A859"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0FACCE4F" w14:textId="77777777" w:rsidR="006A5F0E" w:rsidRDefault="006A5F0E" w:rsidP="006A5F0E">
      <w:pPr>
        <w:pStyle w:val="Prrafodelista"/>
        <w:spacing w:after="120" w:line="250" w:lineRule="exact"/>
        <w:ind w:left="998"/>
        <w:rPr>
          <w:rFonts w:ascii="Noto Sans" w:hAnsi="Noto Sans" w:cs="Noto Sans"/>
          <w:sz w:val="18"/>
          <w:szCs w:val="18"/>
        </w:rPr>
      </w:pPr>
    </w:p>
    <w:p w14:paraId="73735888" w14:textId="77777777" w:rsidR="006A5F0E" w:rsidRDefault="00CE6C23" w:rsidP="00D461EC">
      <w:pPr>
        <w:pStyle w:val="Prrafodelista"/>
        <w:numPr>
          <w:ilvl w:val="0"/>
          <w:numId w:val="21"/>
        </w:numPr>
        <w:spacing w:after="120" w:line="250" w:lineRule="exact"/>
        <w:ind w:left="998" w:hanging="284"/>
        <w:rPr>
          <w:rFonts w:ascii="Noto Sans" w:hAnsi="Noto Sans" w:cs="Noto Sans"/>
          <w:sz w:val="18"/>
          <w:szCs w:val="18"/>
        </w:rPr>
      </w:pPr>
      <w:r>
        <w:rPr>
          <w:rFonts w:ascii="Noto Sans" w:hAnsi="Noto Sans" w:cs="Noto Sans"/>
          <w:sz w:val="18"/>
          <w:szCs w:val="18"/>
        </w:rPr>
        <w:t>2</w:t>
      </w:r>
      <w:r w:rsidR="006A5F0E" w:rsidRPr="002A0970">
        <w:rPr>
          <w:rFonts w:ascii="Noto Sans" w:hAnsi="Noto Sans" w:cs="Noto Sans"/>
          <w:sz w:val="18"/>
          <w:szCs w:val="18"/>
        </w:rPr>
        <w:t>.4.a.1) Las Otras Prestaciones Económicas se analizan por ramo de seguro como sigue:</w:t>
      </w:r>
    </w:p>
    <w:p w14:paraId="2B183D36" w14:textId="77777777" w:rsidR="00F91EA6" w:rsidRPr="00CE6C23" w:rsidRDefault="00F91EA6" w:rsidP="00F91EA6">
      <w:pPr>
        <w:pStyle w:val="Prrafodelista"/>
        <w:spacing w:after="120" w:line="250" w:lineRule="exact"/>
        <w:ind w:left="998"/>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7D421ECC"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BF1185B"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B404FC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1064894C"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CA46235"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9586CE2" w14:textId="32F00A16"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0560E04" w14:textId="0B5B6E4D"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C21308" w:rsidRPr="005946C5" w14:paraId="4C8871CC" w14:textId="77777777" w:rsidTr="00F91EA6">
        <w:trPr>
          <w:trHeight w:val="238"/>
          <w:jc w:val="center"/>
        </w:trPr>
        <w:tc>
          <w:tcPr>
            <w:tcW w:w="5475" w:type="dxa"/>
            <w:tcBorders>
              <w:top w:val="triple" w:sz="12" w:space="0" w:color="A6802D"/>
              <w:left w:val="nil"/>
              <w:bottom w:val="nil"/>
              <w:right w:val="nil"/>
            </w:tcBorders>
            <w:shd w:val="clear" w:color="000000" w:fill="F2F2F2"/>
            <w:vAlign w:val="center"/>
          </w:tcPr>
          <w:p w14:paraId="7BF3D3EA" w14:textId="54E9C7EA" w:rsidR="00C21308" w:rsidRPr="00CE6C23" w:rsidRDefault="00C21308" w:rsidP="00C2130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Subsidio por Enfermedad</w:t>
            </w:r>
          </w:p>
        </w:tc>
        <w:tc>
          <w:tcPr>
            <w:tcW w:w="1960" w:type="dxa"/>
            <w:tcBorders>
              <w:top w:val="triple" w:sz="12" w:space="0" w:color="A6802D"/>
              <w:left w:val="nil"/>
              <w:bottom w:val="nil"/>
              <w:right w:val="nil"/>
            </w:tcBorders>
            <w:shd w:val="clear" w:color="000000" w:fill="F2F2F2"/>
            <w:vAlign w:val="center"/>
          </w:tcPr>
          <w:p w14:paraId="5415B7C2" w14:textId="4860233A"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7,808,576,324.0</w:t>
            </w:r>
          </w:p>
        </w:tc>
        <w:tc>
          <w:tcPr>
            <w:tcW w:w="1961" w:type="dxa"/>
            <w:tcBorders>
              <w:top w:val="triple" w:sz="12" w:space="0" w:color="A6802D"/>
              <w:left w:val="nil"/>
              <w:bottom w:val="nil"/>
              <w:right w:val="nil"/>
            </w:tcBorders>
            <w:shd w:val="clear" w:color="000000" w:fill="F2F2F2"/>
            <w:vAlign w:val="center"/>
          </w:tcPr>
          <w:p w14:paraId="60378223" w14:textId="0E0B023E"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6,897,971,551.0</w:t>
            </w:r>
          </w:p>
        </w:tc>
      </w:tr>
      <w:tr w:rsidR="00C21308" w:rsidRPr="00FC0913" w14:paraId="2995A780" w14:textId="77777777" w:rsidTr="00F91EA6">
        <w:trPr>
          <w:trHeight w:val="238"/>
          <w:jc w:val="center"/>
        </w:trPr>
        <w:tc>
          <w:tcPr>
            <w:tcW w:w="5475" w:type="dxa"/>
            <w:tcBorders>
              <w:top w:val="nil"/>
              <w:left w:val="nil"/>
              <w:bottom w:val="nil"/>
              <w:right w:val="nil"/>
            </w:tcBorders>
            <w:shd w:val="clear" w:color="000000" w:fill="F2F2F2"/>
            <w:vAlign w:val="center"/>
          </w:tcPr>
          <w:p w14:paraId="29828D55" w14:textId="229AECD2" w:rsidR="00C21308" w:rsidRPr="00CE6C23" w:rsidRDefault="00C21308" w:rsidP="00C2130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Subsidio de Maternidad</w:t>
            </w:r>
          </w:p>
        </w:tc>
        <w:tc>
          <w:tcPr>
            <w:tcW w:w="1960" w:type="dxa"/>
            <w:tcBorders>
              <w:top w:val="nil"/>
              <w:left w:val="nil"/>
              <w:bottom w:val="nil"/>
              <w:right w:val="nil"/>
            </w:tcBorders>
            <w:shd w:val="clear" w:color="000000" w:fill="F2F2F2"/>
            <w:vAlign w:val="center"/>
          </w:tcPr>
          <w:p w14:paraId="1074B0C7" w14:textId="5D29EF29"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4,285,779,625.4</w:t>
            </w:r>
          </w:p>
        </w:tc>
        <w:tc>
          <w:tcPr>
            <w:tcW w:w="1961" w:type="dxa"/>
            <w:tcBorders>
              <w:top w:val="nil"/>
              <w:left w:val="nil"/>
              <w:bottom w:val="nil"/>
              <w:right w:val="nil"/>
            </w:tcBorders>
            <w:shd w:val="clear" w:color="000000" w:fill="F2F2F2"/>
            <w:vAlign w:val="center"/>
          </w:tcPr>
          <w:p w14:paraId="67AE6CED" w14:textId="2EF20D2B"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4,020,761,306.2</w:t>
            </w:r>
          </w:p>
        </w:tc>
      </w:tr>
      <w:tr w:rsidR="00C21308" w:rsidRPr="00FC0913" w14:paraId="2A24913E" w14:textId="77777777" w:rsidTr="00F91EA6">
        <w:trPr>
          <w:trHeight w:val="238"/>
          <w:jc w:val="center"/>
        </w:trPr>
        <w:tc>
          <w:tcPr>
            <w:tcW w:w="5475" w:type="dxa"/>
            <w:tcBorders>
              <w:top w:val="nil"/>
              <w:left w:val="nil"/>
              <w:bottom w:val="nil"/>
              <w:right w:val="nil"/>
            </w:tcBorders>
            <w:shd w:val="clear" w:color="000000" w:fill="F2F2F2"/>
            <w:vAlign w:val="center"/>
          </w:tcPr>
          <w:p w14:paraId="6D47A673" w14:textId="20021D68" w:rsidR="00C21308" w:rsidRPr="00CE6C23" w:rsidRDefault="00C21308" w:rsidP="00C2130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Subsidio por Riesgo de Trabajo</w:t>
            </w:r>
          </w:p>
        </w:tc>
        <w:tc>
          <w:tcPr>
            <w:tcW w:w="1960" w:type="dxa"/>
            <w:tcBorders>
              <w:top w:val="nil"/>
              <w:left w:val="nil"/>
              <w:bottom w:val="nil"/>
              <w:right w:val="nil"/>
            </w:tcBorders>
            <w:shd w:val="clear" w:color="000000" w:fill="F2F2F2"/>
            <w:vAlign w:val="center"/>
          </w:tcPr>
          <w:p w14:paraId="70C97885" w14:textId="0FD6E0D4"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4,251,361,959.0</w:t>
            </w:r>
          </w:p>
        </w:tc>
        <w:tc>
          <w:tcPr>
            <w:tcW w:w="1961" w:type="dxa"/>
            <w:tcBorders>
              <w:top w:val="nil"/>
              <w:left w:val="nil"/>
              <w:bottom w:val="nil"/>
              <w:right w:val="nil"/>
            </w:tcBorders>
            <w:shd w:val="clear" w:color="000000" w:fill="F2F2F2"/>
            <w:vAlign w:val="center"/>
          </w:tcPr>
          <w:p w14:paraId="7C217223" w14:textId="4849BEA4"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3,688,742,945.8</w:t>
            </w:r>
          </w:p>
        </w:tc>
      </w:tr>
      <w:tr w:rsidR="00C21308" w:rsidRPr="00FC0913" w14:paraId="37DB3B3B" w14:textId="77777777" w:rsidTr="00F91EA6">
        <w:trPr>
          <w:trHeight w:val="238"/>
          <w:jc w:val="center"/>
        </w:trPr>
        <w:tc>
          <w:tcPr>
            <w:tcW w:w="5475" w:type="dxa"/>
            <w:tcBorders>
              <w:top w:val="nil"/>
              <w:left w:val="nil"/>
              <w:bottom w:val="nil"/>
              <w:right w:val="nil"/>
            </w:tcBorders>
            <w:shd w:val="clear" w:color="000000" w:fill="F2F2F2"/>
            <w:vAlign w:val="center"/>
          </w:tcPr>
          <w:p w14:paraId="57E4B9FC" w14:textId="7CCB46AB" w:rsidR="00C21308" w:rsidRPr="00CE6C23" w:rsidRDefault="00C21308" w:rsidP="00C2130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Ayudas</w:t>
            </w:r>
          </w:p>
        </w:tc>
        <w:tc>
          <w:tcPr>
            <w:tcW w:w="1960" w:type="dxa"/>
            <w:tcBorders>
              <w:top w:val="nil"/>
              <w:left w:val="nil"/>
              <w:bottom w:val="nil"/>
              <w:right w:val="nil"/>
            </w:tcBorders>
            <w:shd w:val="clear" w:color="000000" w:fill="F2F2F2"/>
            <w:vAlign w:val="center"/>
          </w:tcPr>
          <w:p w14:paraId="7CBFD6CE" w14:textId="7D17EA22"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943,356,497.8</w:t>
            </w:r>
          </w:p>
        </w:tc>
        <w:tc>
          <w:tcPr>
            <w:tcW w:w="1961" w:type="dxa"/>
            <w:tcBorders>
              <w:top w:val="nil"/>
              <w:left w:val="nil"/>
              <w:bottom w:val="nil"/>
              <w:right w:val="nil"/>
            </w:tcBorders>
            <w:shd w:val="clear" w:color="000000" w:fill="F2F2F2"/>
            <w:vAlign w:val="center"/>
          </w:tcPr>
          <w:p w14:paraId="66A08A01" w14:textId="132FC98B" w:rsidR="00C21308" w:rsidRPr="00CE6C23" w:rsidRDefault="00C21308" w:rsidP="00C2130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820,197,406.2</w:t>
            </w:r>
          </w:p>
        </w:tc>
      </w:tr>
      <w:tr w:rsidR="00C21308" w:rsidRPr="005946C5" w14:paraId="4B5A0444" w14:textId="77777777" w:rsidTr="00F91EA6">
        <w:trPr>
          <w:trHeight w:val="238"/>
          <w:jc w:val="center"/>
        </w:trPr>
        <w:tc>
          <w:tcPr>
            <w:tcW w:w="5475" w:type="dxa"/>
            <w:tcBorders>
              <w:top w:val="nil"/>
              <w:left w:val="nil"/>
              <w:bottom w:val="single" w:sz="12" w:space="0" w:color="A6802D"/>
              <w:right w:val="nil"/>
            </w:tcBorders>
            <w:shd w:val="clear" w:color="000000" w:fill="F2F2F2"/>
            <w:vAlign w:val="center"/>
          </w:tcPr>
          <w:p w14:paraId="707C0B5D" w14:textId="2EBCA7A5" w:rsidR="00C21308" w:rsidRPr="00CE6C23" w:rsidRDefault="00C21308" w:rsidP="00C21308">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Otras Prestaciones Económicas</w:t>
            </w:r>
          </w:p>
        </w:tc>
        <w:tc>
          <w:tcPr>
            <w:tcW w:w="1960" w:type="dxa"/>
            <w:tcBorders>
              <w:top w:val="nil"/>
              <w:left w:val="nil"/>
              <w:bottom w:val="single" w:sz="12" w:space="0" w:color="A6802D"/>
              <w:right w:val="nil"/>
            </w:tcBorders>
            <w:shd w:val="clear" w:color="000000" w:fill="F2F2F2"/>
            <w:vAlign w:val="center"/>
          </w:tcPr>
          <w:p w14:paraId="61CCF32F" w14:textId="418484E9" w:rsidR="00C21308" w:rsidRPr="00CE6C23" w:rsidRDefault="00C21308" w:rsidP="00C2130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17,289,074,406.2</w:t>
            </w:r>
          </w:p>
        </w:tc>
        <w:tc>
          <w:tcPr>
            <w:tcW w:w="1961" w:type="dxa"/>
            <w:tcBorders>
              <w:top w:val="nil"/>
              <w:left w:val="nil"/>
              <w:bottom w:val="single" w:sz="12" w:space="0" w:color="A6802D"/>
              <w:right w:val="nil"/>
            </w:tcBorders>
            <w:shd w:val="clear" w:color="000000" w:fill="F2F2F2"/>
            <w:vAlign w:val="center"/>
          </w:tcPr>
          <w:p w14:paraId="0E9A2A6B" w14:textId="554D9C00" w:rsidR="00C21308" w:rsidRPr="00CE6C23" w:rsidRDefault="00C21308" w:rsidP="00C2130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15,427,673,209.2</w:t>
            </w:r>
          </w:p>
        </w:tc>
      </w:tr>
      <w:tr w:rsidR="006A5F0E" w:rsidRPr="00274555" w14:paraId="35653A96" w14:textId="77777777" w:rsidTr="00F91EA6">
        <w:trPr>
          <w:trHeight w:val="244"/>
          <w:jc w:val="center"/>
        </w:trPr>
        <w:tc>
          <w:tcPr>
            <w:tcW w:w="5475" w:type="dxa"/>
            <w:tcBorders>
              <w:top w:val="single" w:sz="12" w:space="0" w:color="A6802D"/>
              <w:left w:val="nil"/>
              <w:right w:val="nil"/>
            </w:tcBorders>
            <w:vAlign w:val="center"/>
          </w:tcPr>
          <w:p w14:paraId="576283C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7966A31D"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18C7B5B"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07854EF5" w14:textId="77777777" w:rsidR="006A5F0E" w:rsidRPr="002A0970" w:rsidRDefault="006A5F0E" w:rsidP="002B1BF1">
      <w:pPr>
        <w:spacing w:after="120" w:line="250" w:lineRule="exact"/>
        <w:jc w:val="both"/>
        <w:rPr>
          <w:rFonts w:ascii="Noto Sans" w:hAnsi="Noto Sans" w:cs="Noto Sans"/>
          <w:sz w:val="18"/>
          <w:szCs w:val="18"/>
        </w:rPr>
      </w:pPr>
      <w:r w:rsidRPr="002A0970">
        <w:rPr>
          <w:rFonts w:ascii="Noto Sans" w:hAnsi="Noto Sans" w:cs="Noto Sans"/>
          <w:sz w:val="18"/>
          <w:szCs w:val="18"/>
        </w:rPr>
        <w:lastRenderedPageBreak/>
        <w:t>Las Otras Prestaciones Económicas refieren a subsidios por asignaciones destinadas a cubrir a la población derechohabiente del Instituto, las prestaciones que establece la LSS tales como: pago de incapacidades por enfermedad general, por maternidad y por riesgos de trabajo; ayudas de matrimonio y de funeral, así como pago de indemnizaciones.</w:t>
      </w:r>
    </w:p>
    <w:p w14:paraId="2032C4E7" w14:textId="77777777" w:rsidR="006A5F0E" w:rsidRDefault="00CE6C23" w:rsidP="00D461EC">
      <w:pPr>
        <w:pStyle w:val="TEXTONORMAL"/>
        <w:numPr>
          <w:ilvl w:val="0"/>
          <w:numId w:val="21"/>
        </w:numPr>
        <w:ind w:left="998" w:hanging="284"/>
      </w:pPr>
      <w:r>
        <w:t>2</w:t>
      </w:r>
      <w:r w:rsidR="006A5F0E" w:rsidRPr="002A0970">
        <w:t>.4.a.2)</w:t>
      </w:r>
      <w:r w:rsidR="006A5F0E">
        <w:rPr>
          <w:b/>
        </w:rPr>
        <w:t xml:space="preserve"> </w:t>
      </w:r>
      <w:r w:rsidR="006A5F0E">
        <w:t xml:space="preserve">Las Otras Pensiones y Jubilaciones se integran por las sumas aseguradas con base en el artículo 120 de la LSS. </w:t>
      </w:r>
    </w:p>
    <w:p w14:paraId="56B898B9" w14:textId="77777777" w:rsidR="006A5F0E" w:rsidRDefault="006A5F0E" w:rsidP="006A5F0E">
      <w:pPr>
        <w:pStyle w:val="TEXTONORMAL"/>
      </w:pPr>
    </w:p>
    <w:p w14:paraId="02C7E400" w14:textId="77777777" w:rsidR="006A5F0E" w:rsidRDefault="00CE6C23" w:rsidP="00D461EC">
      <w:pPr>
        <w:pStyle w:val="Prrafodelista"/>
        <w:numPr>
          <w:ilvl w:val="0"/>
          <w:numId w:val="27"/>
        </w:numPr>
        <w:spacing w:after="120" w:line="250" w:lineRule="exact"/>
        <w:ind w:left="357" w:hanging="357"/>
        <w:rPr>
          <w:rFonts w:ascii="Noto Sans" w:hAnsi="Noto Sans" w:cs="Noto Sans"/>
          <w:sz w:val="18"/>
          <w:szCs w:val="18"/>
        </w:rPr>
      </w:pPr>
      <w:r>
        <w:rPr>
          <w:rFonts w:ascii="Noto Sans" w:hAnsi="Noto Sans" w:cs="Noto Sans"/>
          <w:sz w:val="18"/>
          <w:szCs w:val="18"/>
        </w:rPr>
        <w:t>2</w:t>
      </w:r>
      <w:r w:rsidR="006A5F0E">
        <w:rPr>
          <w:rFonts w:ascii="Noto Sans" w:hAnsi="Noto Sans" w:cs="Noto Sans"/>
          <w:sz w:val="18"/>
          <w:szCs w:val="18"/>
        </w:rPr>
        <w:t xml:space="preserve">.5 </w:t>
      </w:r>
      <w:r w:rsidR="006A5F0E" w:rsidRPr="002A0970">
        <w:rPr>
          <w:rFonts w:ascii="Noto Sans" w:hAnsi="Noto Sans" w:cs="Noto Sans"/>
          <w:sz w:val="18"/>
          <w:szCs w:val="18"/>
        </w:rPr>
        <w:t>Estimaciones, Depreciaciones, Deterioros, Obsolescencia y Amortizaciones</w:t>
      </w:r>
    </w:p>
    <w:p w14:paraId="498291F7" w14:textId="4B436FCE" w:rsidR="006A5F0E" w:rsidRDefault="00FE0B69" w:rsidP="006A5F0E">
      <w:pPr>
        <w:spacing w:after="120" w:line="250" w:lineRule="exact"/>
        <w:rPr>
          <w:rFonts w:ascii="Noto Sans" w:hAnsi="Noto Sans" w:cs="Noto Sans"/>
          <w:sz w:val="18"/>
          <w:szCs w:val="18"/>
        </w:rPr>
      </w:pPr>
      <w:r>
        <w:rPr>
          <w:rFonts w:cs="Noto Sans"/>
          <w:szCs w:val="18"/>
        </w:rPr>
        <w:t>A</w:t>
      </w:r>
      <w:r w:rsidRPr="000F4D76">
        <w:rPr>
          <w:rFonts w:ascii="Noto Sans" w:hAnsi="Noto Sans" w:cs="Noto Sans"/>
          <w:sz w:val="18"/>
          <w:szCs w:val="18"/>
        </w:rPr>
        <w:t xml:space="preserve">l </w:t>
      </w:r>
      <w:r w:rsidR="007E19D6" w:rsidRPr="002B3F78">
        <w:rPr>
          <w:rFonts w:cs="Noto Sans"/>
          <w:szCs w:val="18"/>
        </w:rPr>
        <w:t>3</w:t>
      </w:r>
      <w:r w:rsidR="007E19D6">
        <w:rPr>
          <w:rFonts w:cs="Noto Sans"/>
          <w:szCs w:val="18"/>
        </w:rPr>
        <w:t>0</w:t>
      </w:r>
      <w:r w:rsidR="007E19D6" w:rsidRPr="002B3F78">
        <w:rPr>
          <w:rFonts w:cs="Noto Sans"/>
          <w:szCs w:val="18"/>
        </w:rPr>
        <w:t xml:space="preserve"> de </w:t>
      </w:r>
      <w:r w:rsidR="007E19D6">
        <w:rPr>
          <w:rFonts w:cs="Noto Sans"/>
          <w:szCs w:val="18"/>
        </w:rPr>
        <w:t>junio</w:t>
      </w:r>
      <w:r w:rsidR="007E19D6" w:rsidRPr="002B3F78">
        <w:rPr>
          <w:rFonts w:cs="Noto Sans"/>
          <w:szCs w:val="18"/>
        </w:rPr>
        <w:t xml:space="preserve"> </w:t>
      </w:r>
      <w:r w:rsidRPr="000F4D76">
        <w:rPr>
          <w:rFonts w:ascii="Noto Sans" w:hAnsi="Noto Sans" w:cs="Noto Sans"/>
          <w:sz w:val="18"/>
          <w:szCs w:val="18"/>
        </w:rPr>
        <w:t>de 2025 y 2024</w:t>
      </w:r>
      <w:r w:rsidR="006A5F0E" w:rsidRPr="002A0970">
        <w:rPr>
          <w:rFonts w:ascii="Noto Sans" w:hAnsi="Noto Sans" w:cs="Noto Sans"/>
          <w:sz w:val="18"/>
          <w:szCs w:val="18"/>
        </w:rPr>
        <w:t>, el rubro de Estimaciones, Depreciaciones, Deterioros, Obsolescencia y Amortizaciones, se integra como sigue:</w:t>
      </w:r>
    </w:p>
    <w:p w14:paraId="312692E4" w14:textId="77777777" w:rsidR="004C0F5A" w:rsidRPr="002A0970" w:rsidRDefault="004C0F5A" w:rsidP="006A5F0E">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230DC365" w14:textId="77777777" w:rsidTr="004C0F5A">
        <w:trPr>
          <w:trHeight w:val="20"/>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FDDFD5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24D85A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A5F0E" w:rsidRPr="005946C5" w14:paraId="1E23A3AC" w14:textId="77777777" w:rsidTr="004C0F5A">
        <w:trPr>
          <w:trHeight w:val="20"/>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0DBE4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44487ECF" w14:textId="568A180D"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C3591B5" w14:textId="2EBC8F04" w:rsidR="006A5F0E"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D313F2" w:rsidRPr="005946C5" w14:paraId="6FF5A966" w14:textId="77777777" w:rsidTr="004C0F5A">
        <w:trPr>
          <w:trHeight w:val="227"/>
          <w:jc w:val="center"/>
        </w:trPr>
        <w:tc>
          <w:tcPr>
            <w:tcW w:w="5475" w:type="dxa"/>
            <w:tcBorders>
              <w:top w:val="triple" w:sz="12" w:space="0" w:color="A6802D"/>
              <w:left w:val="nil"/>
              <w:bottom w:val="nil"/>
              <w:right w:val="nil"/>
            </w:tcBorders>
            <w:shd w:val="clear" w:color="000000" w:fill="F2F2F2"/>
            <w:vAlign w:val="center"/>
          </w:tcPr>
          <w:p w14:paraId="584ACBEF" w14:textId="5380FD90" w:rsidR="00D313F2" w:rsidRPr="00CE6C23" w:rsidRDefault="00D313F2" w:rsidP="00D313F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Estimaciones por Pérdida o Deterioro de Activos Circulantes y No Circulantes</w:t>
            </w:r>
          </w:p>
        </w:tc>
        <w:tc>
          <w:tcPr>
            <w:tcW w:w="1960" w:type="dxa"/>
            <w:tcBorders>
              <w:top w:val="triple" w:sz="12" w:space="0" w:color="A6802D"/>
              <w:left w:val="nil"/>
              <w:bottom w:val="nil"/>
              <w:right w:val="nil"/>
            </w:tcBorders>
            <w:shd w:val="clear" w:color="000000" w:fill="F2F2F2"/>
            <w:vAlign w:val="center"/>
          </w:tcPr>
          <w:p w14:paraId="487E707B" w14:textId="30FA648F" w:rsidR="00D313F2" w:rsidRPr="00CE6C23" w:rsidRDefault="00D313F2" w:rsidP="00D313F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6,627,988,414.0</w:t>
            </w:r>
          </w:p>
        </w:tc>
        <w:tc>
          <w:tcPr>
            <w:tcW w:w="1961" w:type="dxa"/>
            <w:tcBorders>
              <w:top w:val="triple" w:sz="12" w:space="0" w:color="A6802D"/>
              <w:left w:val="nil"/>
              <w:bottom w:val="nil"/>
              <w:right w:val="nil"/>
            </w:tcBorders>
            <w:shd w:val="clear" w:color="000000" w:fill="F2F2F2"/>
            <w:vAlign w:val="center"/>
          </w:tcPr>
          <w:p w14:paraId="35AE04A9" w14:textId="779B7CD0" w:rsidR="00D313F2" w:rsidRPr="00CE6C23" w:rsidRDefault="00D313F2" w:rsidP="00D313F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7,336,786,478.4</w:t>
            </w:r>
          </w:p>
        </w:tc>
      </w:tr>
      <w:tr w:rsidR="00D313F2" w:rsidRPr="00FC0913" w14:paraId="01FE31CC" w14:textId="77777777" w:rsidTr="004C0F5A">
        <w:trPr>
          <w:trHeight w:val="227"/>
          <w:jc w:val="center"/>
        </w:trPr>
        <w:tc>
          <w:tcPr>
            <w:tcW w:w="5475" w:type="dxa"/>
            <w:tcBorders>
              <w:top w:val="nil"/>
              <w:left w:val="nil"/>
              <w:bottom w:val="nil"/>
              <w:right w:val="nil"/>
            </w:tcBorders>
            <w:shd w:val="clear" w:color="000000" w:fill="F2F2F2"/>
            <w:vAlign w:val="center"/>
          </w:tcPr>
          <w:p w14:paraId="3E709E5F" w14:textId="24F1D70F" w:rsidR="00D313F2" w:rsidRPr="00CE6C23" w:rsidRDefault="00D313F2" w:rsidP="00D313F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Depreciación de Bienes Muebles</w:t>
            </w:r>
          </w:p>
        </w:tc>
        <w:tc>
          <w:tcPr>
            <w:tcW w:w="1960" w:type="dxa"/>
            <w:tcBorders>
              <w:top w:val="nil"/>
              <w:left w:val="nil"/>
              <w:bottom w:val="nil"/>
              <w:right w:val="nil"/>
            </w:tcBorders>
            <w:shd w:val="clear" w:color="000000" w:fill="F2F2F2"/>
            <w:vAlign w:val="center"/>
          </w:tcPr>
          <w:p w14:paraId="01788725" w14:textId="3F9CF2EF" w:rsidR="00D313F2" w:rsidRPr="00CE6C23" w:rsidRDefault="00D313F2" w:rsidP="00D313F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2,814,056,973.5</w:t>
            </w:r>
          </w:p>
        </w:tc>
        <w:tc>
          <w:tcPr>
            <w:tcW w:w="1961" w:type="dxa"/>
            <w:tcBorders>
              <w:top w:val="nil"/>
              <w:left w:val="nil"/>
              <w:bottom w:val="nil"/>
              <w:right w:val="nil"/>
            </w:tcBorders>
            <w:shd w:val="clear" w:color="000000" w:fill="F2F2F2"/>
            <w:vAlign w:val="center"/>
          </w:tcPr>
          <w:p w14:paraId="07E547BF" w14:textId="13C8F15F" w:rsidR="00D313F2" w:rsidRPr="00CE6C23" w:rsidRDefault="00D313F2" w:rsidP="00D313F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2,329,961,802.7</w:t>
            </w:r>
          </w:p>
        </w:tc>
      </w:tr>
      <w:tr w:rsidR="00D313F2" w:rsidRPr="00FC0913" w14:paraId="26FC5C0F" w14:textId="77777777" w:rsidTr="004C0F5A">
        <w:trPr>
          <w:trHeight w:val="227"/>
          <w:jc w:val="center"/>
        </w:trPr>
        <w:tc>
          <w:tcPr>
            <w:tcW w:w="5475" w:type="dxa"/>
            <w:tcBorders>
              <w:top w:val="nil"/>
              <w:left w:val="nil"/>
              <w:bottom w:val="nil"/>
              <w:right w:val="nil"/>
            </w:tcBorders>
            <w:shd w:val="clear" w:color="000000" w:fill="F2F2F2"/>
            <w:vAlign w:val="center"/>
          </w:tcPr>
          <w:p w14:paraId="626A9DBF" w14:textId="6CD432CA" w:rsidR="00D313F2" w:rsidRDefault="00D313F2" w:rsidP="00D313F2">
            <w:pPr>
              <w:spacing w:after="0" w:line="240" w:lineRule="auto"/>
              <w:jc w:val="both"/>
              <w:rPr>
                <w:rFonts w:ascii="Noto Sans" w:hAnsi="Noto Sans" w:cs="Noto Sans"/>
                <w:color w:val="000000"/>
                <w:sz w:val="15"/>
                <w:szCs w:val="15"/>
              </w:rPr>
            </w:pPr>
            <w:r>
              <w:rPr>
                <w:rFonts w:ascii="Noto Sans" w:hAnsi="Noto Sans" w:cs="Noto Sans"/>
                <w:color w:val="000000"/>
                <w:sz w:val="15"/>
                <w:szCs w:val="15"/>
              </w:rPr>
              <w:t>Depreciación de Bienes Inmuebles</w:t>
            </w:r>
          </w:p>
        </w:tc>
        <w:tc>
          <w:tcPr>
            <w:tcW w:w="1960" w:type="dxa"/>
            <w:tcBorders>
              <w:top w:val="nil"/>
              <w:left w:val="nil"/>
              <w:bottom w:val="nil"/>
              <w:right w:val="nil"/>
            </w:tcBorders>
            <w:shd w:val="clear" w:color="000000" w:fill="F2F2F2"/>
            <w:vAlign w:val="center"/>
          </w:tcPr>
          <w:p w14:paraId="2F328AB2" w14:textId="1EE093FF" w:rsidR="00D313F2" w:rsidRDefault="00D313F2" w:rsidP="00D313F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387,625,420.7</w:t>
            </w:r>
          </w:p>
        </w:tc>
        <w:tc>
          <w:tcPr>
            <w:tcW w:w="1961" w:type="dxa"/>
            <w:tcBorders>
              <w:top w:val="nil"/>
              <w:left w:val="nil"/>
              <w:bottom w:val="nil"/>
              <w:right w:val="nil"/>
            </w:tcBorders>
            <w:shd w:val="clear" w:color="000000" w:fill="F2F2F2"/>
            <w:vAlign w:val="center"/>
          </w:tcPr>
          <w:p w14:paraId="40FF8E21" w14:textId="289A56E2" w:rsidR="00D313F2" w:rsidRDefault="00D313F2" w:rsidP="00D313F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763,912,659.7</w:t>
            </w:r>
          </w:p>
        </w:tc>
      </w:tr>
      <w:tr w:rsidR="00D313F2" w:rsidRPr="00FC0913" w14:paraId="38B1343E" w14:textId="77777777" w:rsidTr="004C0F5A">
        <w:trPr>
          <w:trHeight w:val="227"/>
          <w:jc w:val="center"/>
        </w:trPr>
        <w:tc>
          <w:tcPr>
            <w:tcW w:w="5475" w:type="dxa"/>
            <w:tcBorders>
              <w:top w:val="nil"/>
              <w:left w:val="nil"/>
              <w:bottom w:val="nil"/>
              <w:right w:val="nil"/>
            </w:tcBorders>
            <w:shd w:val="clear" w:color="000000" w:fill="F2F2F2"/>
            <w:vAlign w:val="center"/>
          </w:tcPr>
          <w:p w14:paraId="48E2E6D1" w14:textId="23AD4F25" w:rsidR="00D313F2" w:rsidRDefault="00D313F2" w:rsidP="00D313F2">
            <w:pPr>
              <w:spacing w:after="0" w:line="240" w:lineRule="auto"/>
              <w:jc w:val="both"/>
              <w:rPr>
                <w:rFonts w:ascii="Noto Sans" w:hAnsi="Noto Sans" w:cs="Noto Sans"/>
                <w:color w:val="000000"/>
                <w:sz w:val="15"/>
                <w:szCs w:val="15"/>
              </w:rPr>
            </w:pPr>
            <w:r>
              <w:rPr>
                <w:rFonts w:ascii="Noto Sans" w:hAnsi="Noto Sans" w:cs="Noto Sans"/>
                <w:color w:val="000000"/>
                <w:sz w:val="15"/>
                <w:szCs w:val="15"/>
              </w:rPr>
              <w:t>Estimaciones por Pérdida o Deterioro de Activos No Circulantes</w:t>
            </w:r>
          </w:p>
        </w:tc>
        <w:tc>
          <w:tcPr>
            <w:tcW w:w="1960" w:type="dxa"/>
            <w:tcBorders>
              <w:top w:val="nil"/>
              <w:left w:val="nil"/>
              <w:bottom w:val="nil"/>
              <w:right w:val="nil"/>
            </w:tcBorders>
            <w:shd w:val="clear" w:color="000000" w:fill="F2F2F2"/>
            <w:vAlign w:val="center"/>
          </w:tcPr>
          <w:p w14:paraId="43BDAD1A" w14:textId="4403ED40" w:rsidR="00D313F2" w:rsidRDefault="00D313F2" w:rsidP="00D313F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5EA69BBB" w14:textId="65B17F39" w:rsidR="00D313F2" w:rsidRDefault="00D313F2" w:rsidP="00D313F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3,900.0</w:t>
            </w:r>
          </w:p>
        </w:tc>
      </w:tr>
      <w:tr w:rsidR="00D313F2" w:rsidRPr="00FC0913" w14:paraId="01C2F2B4" w14:textId="77777777" w:rsidTr="004C0F5A">
        <w:trPr>
          <w:trHeight w:val="227"/>
          <w:jc w:val="center"/>
        </w:trPr>
        <w:tc>
          <w:tcPr>
            <w:tcW w:w="5475" w:type="dxa"/>
            <w:tcBorders>
              <w:top w:val="nil"/>
              <w:left w:val="nil"/>
              <w:bottom w:val="nil"/>
              <w:right w:val="nil"/>
            </w:tcBorders>
            <w:shd w:val="clear" w:color="000000" w:fill="F2F2F2"/>
            <w:vAlign w:val="center"/>
          </w:tcPr>
          <w:p w14:paraId="0FC92210" w14:textId="0E398CBC" w:rsidR="00D313F2" w:rsidRPr="00CE6C23" w:rsidRDefault="00D313F2" w:rsidP="00D313F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Amortización de Activos Intangibles</w:t>
            </w:r>
          </w:p>
        </w:tc>
        <w:tc>
          <w:tcPr>
            <w:tcW w:w="1960" w:type="dxa"/>
            <w:tcBorders>
              <w:top w:val="nil"/>
              <w:left w:val="nil"/>
              <w:bottom w:val="nil"/>
              <w:right w:val="nil"/>
            </w:tcBorders>
            <w:shd w:val="clear" w:color="000000" w:fill="F2F2F2"/>
            <w:vAlign w:val="center"/>
          </w:tcPr>
          <w:p w14:paraId="322C6B76" w14:textId="4573F9C9" w:rsidR="00D313F2" w:rsidRPr="00CE6C23" w:rsidRDefault="00D313F2" w:rsidP="00D313F2">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6D236412" w14:textId="4A1B4FF8" w:rsidR="00D313F2" w:rsidRPr="00CE6C23" w:rsidRDefault="00D313F2" w:rsidP="00D313F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r>
      <w:tr w:rsidR="00D313F2" w:rsidRPr="005946C5" w14:paraId="348845BD" w14:textId="77777777" w:rsidTr="004C0F5A">
        <w:trPr>
          <w:trHeight w:val="227"/>
          <w:jc w:val="center"/>
        </w:trPr>
        <w:tc>
          <w:tcPr>
            <w:tcW w:w="5475" w:type="dxa"/>
            <w:tcBorders>
              <w:top w:val="nil"/>
              <w:left w:val="nil"/>
              <w:bottom w:val="single" w:sz="12" w:space="0" w:color="A6802D"/>
              <w:right w:val="nil"/>
            </w:tcBorders>
            <w:shd w:val="clear" w:color="000000" w:fill="F2F2F2"/>
            <w:vAlign w:val="center"/>
          </w:tcPr>
          <w:p w14:paraId="25E7398D" w14:textId="6DE170B2" w:rsidR="00D313F2" w:rsidRPr="00CE6C23" w:rsidRDefault="00D313F2" w:rsidP="00D313F2">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Estimaciones, Depreciaciones, Deterioros, Obsolescencia y Amortizaciones</w:t>
            </w:r>
          </w:p>
        </w:tc>
        <w:tc>
          <w:tcPr>
            <w:tcW w:w="1960" w:type="dxa"/>
            <w:tcBorders>
              <w:top w:val="nil"/>
              <w:left w:val="nil"/>
              <w:bottom w:val="single" w:sz="12" w:space="0" w:color="A6802D"/>
              <w:right w:val="nil"/>
            </w:tcBorders>
            <w:shd w:val="clear" w:color="000000" w:fill="F2F2F2"/>
            <w:vAlign w:val="center"/>
          </w:tcPr>
          <w:p w14:paraId="32979730" w14:textId="358E5E19" w:rsidR="00D313F2" w:rsidRPr="00CE6C23" w:rsidRDefault="00D313F2" w:rsidP="00D313F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9,829,670,808.2</w:t>
            </w:r>
          </w:p>
        </w:tc>
        <w:tc>
          <w:tcPr>
            <w:tcW w:w="1961" w:type="dxa"/>
            <w:tcBorders>
              <w:top w:val="nil"/>
              <w:left w:val="nil"/>
              <w:bottom w:val="single" w:sz="12" w:space="0" w:color="A6802D"/>
              <w:right w:val="nil"/>
            </w:tcBorders>
            <w:shd w:val="clear" w:color="000000" w:fill="F2F2F2"/>
            <w:vAlign w:val="center"/>
          </w:tcPr>
          <w:p w14:paraId="7C8FD26B" w14:textId="2D96DC35" w:rsidR="00D313F2" w:rsidRPr="00CE6C23" w:rsidRDefault="00D313F2" w:rsidP="00D313F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10,430,664,840.8</w:t>
            </w:r>
          </w:p>
        </w:tc>
      </w:tr>
      <w:tr w:rsidR="006A5F0E" w:rsidRPr="00274555" w14:paraId="786356BA" w14:textId="77777777" w:rsidTr="00ED10B2">
        <w:trPr>
          <w:trHeight w:val="226"/>
          <w:jc w:val="center"/>
        </w:trPr>
        <w:tc>
          <w:tcPr>
            <w:tcW w:w="5475" w:type="dxa"/>
            <w:tcBorders>
              <w:top w:val="single" w:sz="12" w:space="0" w:color="A6802D"/>
              <w:left w:val="nil"/>
              <w:right w:val="nil"/>
            </w:tcBorders>
            <w:vAlign w:val="center"/>
          </w:tcPr>
          <w:p w14:paraId="6AE828AB"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676D0D1F"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5D9D58C5"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1603239F" w14:textId="77777777" w:rsidR="006A5F0E" w:rsidRDefault="00CE6C23" w:rsidP="00D461EC">
      <w:pPr>
        <w:pStyle w:val="Prrafodelista"/>
        <w:numPr>
          <w:ilvl w:val="0"/>
          <w:numId w:val="27"/>
        </w:numPr>
        <w:spacing w:after="120" w:line="250" w:lineRule="exact"/>
        <w:ind w:left="357" w:hanging="357"/>
        <w:rPr>
          <w:rFonts w:ascii="Noto Sans" w:hAnsi="Noto Sans" w:cs="Noto Sans"/>
          <w:sz w:val="18"/>
          <w:szCs w:val="18"/>
        </w:rPr>
      </w:pPr>
      <w:r>
        <w:rPr>
          <w:rFonts w:ascii="Noto Sans" w:hAnsi="Noto Sans" w:cs="Noto Sans"/>
          <w:sz w:val="18"/>
          <w:szCs w:val="18"/>
        </w:rPr>
        <w:t>2</w:t>
      </w:r>
      <w:r w:rsidR="006A5F0E" w:rsidRPr="00C60C18">
        <w:rPr>
          <w:rFonts w:ascii="Noto Sans" w:hAnsi="Noto Sans" w:cs="Noto Sans"/>
          <w:sz w:val="18"/>
          <w:szCs w:val="18"/>
        </w:rPr>
        <w:t>.</w:t>
      </w:r>
      <w:r w:rsidR="006A5F0E">
        <w:rPr>
          <w:rFonts w:ascii="Noto Sans" w:hAnsi="Noto Sans" w:cs="Noto Sans"/>
          <w:sz w:val="18"/>
          <w:szCs w:val="18"/>
        </w:rPr>
        <w:t>6</w:t>
      </w:r>
      <w:r w:rsidR="006A5F0E" w:rsidRPr="00C60C18">
        <w:rPr>
          <w:rFonts w:ascii="Noto Sans" w:hAnsi="Noto Sans" w:cs="Noto Sans"/>
          <w:sz w:val="18"/>
          <w:szCs w:val="18"/>
        </w:rPr>
        <w:t xml:space="preserve"> </w:t>
      </w:r>
      <w:r w:rsidR="006A5F0E">
        <w:rPr>
          <w:rFonts w:ascii="Noto Sans" w:hAnsi="Noto Sans" w:cs="Noto Sans"/>
          <w:sz w:val="18"/>
          <w:szCs w:val="18"/>
        </w:rPr>
        <w:t>Provisi</w:t>
      </w:r>
      <w:r w:rsidR="006A5F0E" w:rsidRPr="00C60C18">
        <w:rPr>
          <w:rFonts w:ascii="Noto Sans" w:hAnsi="Noto Sans" w:cs="Noto Sans"/>
          <w:sz w:val="18"/>
          <w:szCs w:val="18"/>
        </w:rPr>
        <w:t>ones</w:t>
      </w:r>
    </w:p>
    <w:p w14:paraId="117A3C98" w14:textId="1BA2C940" w:rsidR="006A5F0E" w:rsidRDefault="00FE0B69" w:rsidP="006A5F0E">
      <w:pPr>
        <w:pStyle w:val="TEXTONORMAL"/>
      </w:pPr>
      <w:r>
        <w:rPr>
          <w:rFonts w:cs="Noto Sans"/>
          <w:szCs w:val="18"/>
        </w:rPr>
        <w:t>A</w:t>
      </w:r>
      <w:r w:rsidRPr="000F4D76">
        <w:rPr>
          <w:rFonts w:cs="Noto Sans"/>
          <w:szCs w:val="18"/>
        </w:rPr>
        <w:t xml:space="preserve">l </w:t>
      </w:r>
      <w:r w:rsidR="0057332A" w:rsidRPr="002B3F78">
        <w:rPr>
          <w:rFonts w:cs="Noto Sans"/>
          <w:szCs w:val="18"/>
        </w:rPr>
        <w:t>3</w:t>
      </w:r>
      <w:r w:rsidR="0057332A">
        <w:rPr>
          <w:rFonts w:cs="Noto Sans"/>
          <w:szCs w:val="18"/>
        </w:rPr>
        <w:t>0</w:t>
      </w:r>
      <w:r w:rsidR="0057332A" w:rsidRPr="002B3F78">
        <w:rPr>
          <w:rFonts w:cs="Noto Sans"/>
          <w:szCs w:val="18"/>
        </w:rPr>
        <w:t xml:space="preserve"> de </w:t>
      </w:r>
      <w:r w:rsidR="0057332A">
        <w:rPr>
          <w:rFonts w:cs="Noto Sans"/>
          <w:szCs w:val="18"/>
        </w:rPr>
        <w:t>junio</w:t>
      </w:r>
      <w:r w:rsidR="0057332A" w:rsidRPr="002B3F78">
        <w:rPr>
          <w:rFonts w:cs="Noto Sans"/>
          <w:szCs w:val="18"/>
        </w:rPr>
        <w:t xml:space="preserve"> </w:t>
      </w:r>
      <w:r w:rsidRPr="000F4D76">
        <w:rPr>
          <w:rFonts w:cs="Noto Sans"/>
          <w:szCs w:val="18"/>
        </w:rPr>
        <w:t>de 2025 y 2024</w:t>
      </w:r>
      <w:r w:rsidR="006A5F0E">
        <w:t>, las Provisiones se integran como sigue:</w:t>
      </w:r>
    </w:p>
    <w:p w14:paraId="19733EAE" w14:textId="77777777" w:rsidR="004C0F5A" w:rsidRDefault="004C0F5A"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20792788" w14:textId="77777777" w:rsidTr="004C0F5A">
        <w:trPr>
          <w:trHeight w:val="227"/>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5385A2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DE83656"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0BEA4FFA" w14:textId="77777777" w:rsidTr="004C0F5A">
        <w:trPr>
          <w:trHeight w:val="227"/>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EE5F46"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DC9FC95" w14:textId="114A793A"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8EBDF81" w14:textId="759B555F"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BB211C" w:rsidRPr="005946C5" w14:paraId="7E267FED" w14:textId="77777777" w:rsidTr="004C0F5A">
        <w:trPr>
          <w:trHeight w:val="227"/>
          <w:jc w:val="center"/>
        </w:trPr>
        <w:tc>
          <w:tcPr>
            <w:tcW w:w="5475" w:type="dxa"/>
            <w:tcBorders>
              <w:top w:val="triple" w:sz="12" w:space="0" w:color="A6802D"/>
              <w:left w:val="nil"/>
              <w:bottom w:val="nil"/>
              <w:right w:val="nil"/>
            </w:tcBorders>
            <w:shd w:val="clear" w:color="000000" w:fill="F2F2F2"/>
            <w:vAlign w:val="center"/>
          </w:tcPr>
          <w:p w14:paraId="370AE3E4" w14:textId="29B72B9A" w:rsidR="00BB211C" w:rsidRPr="00C60C18" w:rsidRDefault="00BB211C" w:rsidP="00BB211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Reserva de Operación para Contingencias y Financiamiento (ROCF)</w:t>
            </w:r>
          </w:p>
        </w:tc>
        <w:tc>
          <w:tcPr>
            <w:tcW w:w="1960" w:type="dxa"/>
            <w:tcBorders>
              <w:top w:val="triple" w:sz="12" w:space="0" w:color="A6802D"/>
              <w:left w:val="nil"/>
              <w:bottom w:val="nil"/>
              <w:right w:val="nil"/>
            </w:tcBorders>
            <w:shd w:val="clear" w:color="000000" w:fill="F2F2F2"/>
            <w:vAlign w:val="center"/>
          </w:tcPr>
          <w:p w14:paraId="37D572E7" w14:textId="6785AFF2"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14,089,779,844.8</w:t>
            </w:r>
          </w:p>
        </w:tc>
        <w:tc>
          <w:tcPr>
            <w:tcW w:w="1961" w:type="dxa"/>
            <w:tcBorders>
              <w:top w:val="triple" w:sz="12" w:space="0" w:color="A6802D"/>
              <w:left w:val="nil"/>
              <w:bottom w:val="nil"/>
              <w:right w:val="nil"/>
            </w:tcBorders>
            <w:shd w:val="clear" w:color="000000" w:fill="F2F2F2"/>
            <w:vAlign w:val="center"/>
          </w:tcPr>
          <w:p w14:paraId="12A5CFED" w14:textId="51FA07F7"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31,612,072,346.9</w:t>
            </w:r>
          </w:p>
        </w:tc>
      </w:tr>
      <w:tr w:rsidR="00BB211C" w:rsidRPr="00FC0913" w14:paraId="45C8A3C4" w14:textId="77777777" w:rsidTr="004C0F5A">
        <w:trPr>
          <w:trHeight w:val="227"/>
          <w:jc w:val="center"/>
        </w:trPr>
        <w:tc>
          <w:tcPr>
            <w:tcW w:w="5475" w:type="dxa"/>
            <w:tcBorders>
              <w:top w:val="nil"/>
              <w:left w:val="nil"/>
              <w:bottom w:val="nil"/>
              <w:right w:val="nil"/>
            </w:tcBorders>
            <w:shd w:val="clear" w:color="000000" w:fill="F2F2F2"/>
            <w:vAlign w:val="center"/>
          </w:tcPr>
          <w:p w14:paraId="26069638" w14:textId="5AA5A755" w:rsidR="00BB211C" w:rsidRPr="00C60C18" w:rsidRDefault="00BB211C" w:rsidP="00BB211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RFA Seguro de Enfermedad y Maternidad</w:t>
            </w:r>
          </w:p>
        </w:tc>
        <w:tc>
          <w:tcPr>
            <w:tcW w:w="1960" w:type="dxa"/>
            <w:tcBorders>
              <w:top w:val="nil"/>
              <w:left w:val="nil"/>
              <w:bottom w:val="nil"/>
              <w:right w:val="nil"/>
            </w:tcBorders>
            <w:shd w:val="clear" w:color="000000" w:fill="F2F2F2"/>
            <w:vAlign w:val="center"/>
          </w:tcPr>
          <w:p w14:paraId="65BDA434" w14:textId="116B907F"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5,430,822,280.7</w:t>
            </w:r>
          </w:p>
        </w:tc>
        <w:tc>
          <w:tcPr>
            <w:tcW w:w="1961" w:type="dxa"/>
            <w:tcBorders>
              <w:top w:val="nil"/>
              <w:left w:val="nil"/>
              <w:bottom w:val="nil"/>
              <w:right w:val="nil"/>
            </w:tcBorders>
            <w:shd w:val="clear" w:color="000000" w:fill="F2F2F2"/>
            <w:vAlign w:val="center"/>
          </w:tcPr>
          <w:p w14:paraId="37515222" w14:textId="35142420"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1,517,786,690.7</w:t>
            </w:r>
          </w:p>
        </w:tc>
      </w:tr>
      <w:tr w:rsidR="00BB211C" w:rsidRPr="00FC0913" w14:paraId="22BB6769" w14:textId="77777777" w:rsidTr="004C0F5A">
        <w:trPr>
          <w:trHeight w:val="227"/>
          <w:jc w:val="center"/>
        </w:trPr>
        <w:tc>
          <w:tcPr>
            <w:tcW w:w="5475" w:type="dxa"/>
            <w:tcBorders>
              <w:top w:val="nil"/>
              <w:left w:val="nil"/>
              <w:bottom w:val="nil"/>
              <w:right w:val="nil"/>
            </w:tcBorders>
            <w:shd w:val="clear" w:color="000000" w:fill="F2F2F2"/>
            <w:vAlign w:val="center"/>
          </w:tcPr>
          <w:p w14:paraId="3D3F5FA2" w14:textId="51BF79C1" w:rsidR="00BB211C" w:rsidRPr="00C60C18" w:rsidRDefault="00BB211C" w:rsidP="00BB211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Reserva General Financiera y Actuarial (RGFA)</w:t>
            </w:r>
          </w:p>
        </w:tc>
        <w:tc>
          <w:tcPr>
            <w:tcW w:w="1960" w:type="dxa"/>
            <w:tcBorders>
              <w:top w:val="nil"/>
              <w:left w:val="nil"/>
              <w:bottom w:val="nil"/>
              <w:right w:val="nil"/>
            </w:tcBorders>
            <w:shd w:val="clear" w:color="000000" w:fill="F2F2F2"/>
            <w:vAlign w:val="center"/>
          </w:tcPr>
          <w:p w14:paraId="4344A3FE" w14:textId="77C2CC61"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4,343,865,425.7</w:t>
            </w:r>
          </w:p>
        </w:tc>
        <w:tc>
          <w:tcPr>
            <w:tcW w:w="1961" w:type="dxa"/>
            <w:tcBorders>
              <w:top w:val="nil"/>
              <w:left w:val="nil"/>
              <w:bottom w:val="nil"/>
              <w:right w:val="nil"/>
            </w:tcBorders>
            <w:shd w:val="clear" w:color="000000" w:fill="F2F2F2"/>
            <w:vAlign w:val="center"/>
          </w:tcPr>
          <w:p w14:paraId="3B540E75" w14:textId="17926B56"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3,225,302,456.9</w:t>
            </w:r>
          </w:p>
        </w:tc>
      </w:tr>
      <w:tr w:rsidR="00BB211C" w:rsidRPr="00FC0913" w14:paraId="05CED527" w14:textId="77777777" w:rsidTr="004C0F5A">
        <w:trPr>
          <w:trHeight w:val="227"/>
          <w:jc w:val="center"/>
        </w:trPr>
        <w:tc>
          <w:tcPr>
            <w:tcW w:w="5475" w:type="dxa"/>
            <w:tcBorders>
              <w:top w:val="nil"/>
              <w:left w:val="nil"/>
              <w:bottom w:val="nil"/>
              <w:right w:val="nil"/>
            </w:tcBorders>
            <w:shd w:val="clear" w:color="000000" w:fill="F2F2F2"/>
            <w:vAlign w:val="center"/>
          </w:tcPr>
          <w:p w14:paraId="0A7AF6DF" w14:textId="0266105D" w:rsidR="00BB211C" w:rsidRPr="00C60C18" w:rsidRDefault="00BB211C" w:rsidP="00BB211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RFA Invalidez y Vida </w:t>
            </w:r>
          </w:p>
        </w:tc>
        <w:tc>
          <w:tcPr>
            <w:tcW w:w="1960" w:type="dxa"/>
            <w:tcBorders>
              <w:top w:val="nil"/>
              <w:left w:val="nil"/>
              <w:bottom w:val="nil"/>
              <w:right w:val="nil"/>
            </w:tcBorders>
            <w:shd w:val="clear" w:color="000000" w:fill="F2F2F2"/>
            <w:vAlign w:val="center"/>
          </w:tcPr>
          <w:p w14:paraId="2A5D86AE" w14:textId="2E84D2D6"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1,296,640,593.0</w:t>
            </w:r>
          </w:p>
        </w:tc>
        <w:tc>
          <w:tcPr>
            <w:tcW w:w="1961" w:type="dxa"/>
            <w:tcBorders>
              <w:top w:val="nil"/>
              <w:left w:val="nil"/>
              <w:bottom w:val="nil"/>
              <w:right w:val="nil"/>
            </w:tcBorders>
            <w:shd w:val="clear" w:color="000000" w:fill="F2F2F2"/>
            <w:vAlign w:val="center"/>
          </w:tcPr>
          <w:p w14:paraId="6104877E" w14:textId="68F7034F"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1,871,598,147.6</w:t>
            </w:r>
          </w:p>
        </w:tc>
      </w:tr>
      <w:tr w:rsidR="00BB211C" w:rsidRPr="00FC0913" w14:paraId="7013B554" w14:textId="77777777" w:rsidTr="004C0F5A">
        <w:trPr>
          <w:trHeight w:val="227"/>
          <w:jc w:val="center"/>
        </w:trPr>
        <w:tc>
          <w:tcPr>
            <w:tcW w:w="5475" w:type="dxa"/>
            <w:tcBorders>
              <w:top w:val="nil"/>
              <w:left w:val="nil"/>
              <w:bottom w:val="nil"/>
              <w:right w:val="nil"/>
            </w:tcBorders>
            <w:shd w:val="clear" w:color="000000" w:fill="F2F2F2"/>
            <w:vAlign w:val="center"/>
          </w:tcPr>
          <w:p w14:paraId="6AD3ED9E" w14:textId="14A09ABD" w:rsidR="00BB211C" w:rsidRPr="00C60C18" w:rsidRDefault="00BB211C" w:rsidP="00BB211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RFA Gastos Médicos a Pensionados</w:t>
            </w:r>
          </w:p>
        </w:tc>
        <w:tc>
          <w:tcPr>
            <w:tcW w:w="1960" w:type="dxa"/>
            <w:tcBorders>
              <w:top w:val="nil"/>
              <w:left w:val="nil"/>
              <w:bottom w:val="nil"/>
              <w:right w:val="nil"/>
            </w:tcBorders>
            <w:shd w:val="clear" w:color="000000" w:fill="F2F2F2"/>
            <w:vAlign w:val="center"/>
          </w:tcPr>
          <w:p w14:paraId="5F4FA5EE" w14:textId="21E324FD"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1,244,211,144.1</w:t>
            </w:r>
          </w:p>
        </w:tc>
        <w:tc>
          <w:tcPr>
            <w:tcW w:w="1961" w:type="dxa"/>
            <w:tcBorders>
              <w:top w:val="nil"/>
              <w:left w:val="nil"/>
              <w:bottom w:val="nil"/>
              <w:right w:val="nil"/>
            </w:tcBorders>
            <w:shd w:val="clear" w:color="000000" w:fill="F2F2F2"/>
            <w:vAlign w:val="center"/>
          </w:tcPr>
          <w:p w14:paraId="0D9D8C15" w14:textId="299B0A6C"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2,324,180,008.1</w:t>
            </w:r>
          </w:p>
        </w:tc>
      </w:tr>
      <w:tr w:rsidR="00BB211C" w:rsidRPr="00FC0913" w14:paraId="4951F6BD" w14:textId="77777777" w:rsidTr="004C0F5A">
        <w:trPr>
          <w:trHeight w:val="227"/>
          <w:jc w:val="center"/>
        </w:trPr>
        <w:tc>
          <w:tcPr>
            <w:tcW w:w="5475" w:type="dxa"/>
            <w:tcBorders>
              <w:top w:val="nil"/>
              <w:left w:val="nil"/>
              <w:bottom w:val="nil"/>
              <w:right w:val="nil"/>
            </w:tcBorders>
            <w:shd w:val="clear" w:color="000000" w:fill="F2F2F2"/>
            <w:vAlign w:val="center"/>
          </w:tcPr>
          <w:p w14:paraId="3F203E18" w14:textId="3DC1592F" w:rsidR="00BB211C" w:rsidRPr="00C60C18" w:rsidRDefault="00BB211C" w:rsidP="00BB211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RFA Riesgos de Trabajo </w:t>
            </w:r>
          </w:p>
        </w:tc>
        <w:tc>
          <w:tcPr>
            <w:tcW w:w="1960" w:type="dxa"/>
            <w:tcBorders>
              <w:top w:val="nil"/>
              <w:left w:val="nil"/>
              <w:bottom w:val="nil"/>
              <w:right w:val="nil"/>
            </w:tcBorders>
            <w:shd w:val="clear" w:color="000000" w:fill="F2F2F2"/>
            <w:vAlign w:val="center"/>
          </w:tcPr>
          <w:p w14:paraId="52FAEBD2" w14:textId="5831CA8D"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1,009,868,613.3</w:t>
            </w:r>
          </w:p>
        </w:tc>
        <w:tc>
          <w:tcPr>
            <w:tcW w:w="1961" w:type="dxa"/>
            <w:tcBorders>
              <w:top w:val="nil"/>
              <w:left w:val="nil"/>
              <w:bottom w:val="nil"/>
              <w:right w:val="nil"/>
            </w:tcBorders>
            <w:shd w:val="clear" w:color="000000" w:fill="F2F2F2"/>
            <w:vAlign w:val="center"/>
          </w:tcPr>
          <w:p w14:paraId="7F35AD9A" w14:textId="3B138744"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1,441,428,406.9</w:t>
            </w:r>
          </w:p>
        </w:tc>
      </w:tr>
      <w:tr w:rsidR="00BB211C" w:rsidRPr="00FC0913" w14:paraId="0E193429" w14:textId="77777777" w:rsidTr="004C0F5A">
        <w:trPr>
          <w:trHeight w:val="227"/>
          <w:jc w:val="center"/>
        </w:trPr>
        <w:tc>
          <w:tcPr>
            <w:tcW w:w="5475" w:type="dxa"/>
            <w:tcBorders>
              <w:top w:val="nil"/>
              <w:left w:val="nil"/>
              <w:bottom w:val="nil"/>
              <w:right w:val="nil"/>
            </w:tcBorders>
            <w:shd w:val="clear" w:color="000000" w:fill="F2F2F2"/>
            <w:vAlign w:val="center"/>
          </w:tcPr>
          <w:p w14:paraId="68738BFF" w14:textId="0683A62B" w:rsidR="00BB211C" w:rsidRPr="00C60C18" w:rsidRDefault="00BB211C" w:rsidP="00BB211C">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RFA Seguro de Guarderías y Prestaciones Sociales </w:t>
            </w:r>
          </w:p>
        </w:tc>
        <w:tc>
          <w:tcPr>
            <w:tcW w:w="1960" w:type="dxa"/>
            <w:tcBorders>
              <w:top w:val="nil"/>
              <w:left w:val="nil"/>
              <w:bottom w:val="nil"/>
              <w:right w:val="nil"/>
            </w:tcBorders>
            <w:shd w:val="clear" w:color="000000" w:fill="F2F2F2"/>
            <w:vAlign w:val="center"/>
          </w:tcPr>
          <w:p w14:paraId="33CE9F96" w14:textId="6438A473"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1,163,063,739.9</w:t>
            </w:r>
          </w:p>
        </w:tc>
        <w:tc>
          <w:tcPr>
            <w:tcW w:w="1961" w:type="dxa"/>
            <w:tcBorders>
              <w:top w:val="nil"/>
              <w:left w:val="nil"/>
              <w:bottom w:val="nil"/>
              <w:right w:val="nil"/>
            </w:tcBorders>
            <w:shd w:val="clear" w:color="000000" w:fill="F2F2F2"/>
            <w:vAlign w:val="center"/>
          </w:tcPr>
          <w:p w14:paraId="18CD1131" w14:textId="4DF5B371" w:rsidR="00BB211C" w:rsidRPr="00C60C18" w:rsidRDefault="00BB211C" w:rsidP="00BB211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956,944,776.1</w:t>
            </w:r>
          </w:p>
        </w:tc>
      </w:tr>
      <w:tr w:rsidR="00BB211C" w:rsidRPr="005946C5" w14:paraId="30674C1C" w14:textId="77777777" w:rsidTr="004C0F5A">
        <w:trPr>
          <w:trHeight w:val="227"/>
          <w:jc w:val="center"/>
        </w:trPr>
        <w:tc>
          <w:tcPr>
            <w:tcW w:w="5475" w:type="dxa"/>
            <w:tcBorders>
              <w:top w:val="nil"/>
              <w:left w:val="nil"/>
              <w:bottom w:val="single" w:sz="12" w:space="0" w:color="A6802D"/>
              <w:right w:val="nil"/>
            </w:tcBorders>
            <w:shd w:val="clear" w:color="000000" w:fill="F2F2F2"/>
            <w:vAlign w:val="center"/>
          </w:tcPr>
          <w:p w14:paraId="77F2B493" w14:textId="72BED397" w:rsidR="00BB211C" w:rsidRPr="00C60C18" w:rsidRDefault="00BB211C" w:rsidP="00BB211C">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Provisiones</w:t>
            </w:r>
          </w:p>
        </w:tc>
        <w:tc>
          <w:tcPr>
            <w:tcW w:w="1960" w:type="dxa"/>
            <w:tcBorders>
              <w:top w:val="nil"/>
              <w:left w:val="nil"/>
              <w:bottom w:val="single" w:sz="12" w:space="0" w:color="A6802D"/>
              <w:right w:val="nil"/>
            </w:tcBorders>
            <w:shd w:val="clear" w:color="000000" w:fill="F2F2F2"/>
            <w:vAlign w:val="center"/>
          </w:tcPr>
          <w:p w14:paraId="350667A2" w14:textId="0C3687AC" w:rsidR="00BB211C" w:rsidRPr="00C60C18" w:rsidRDefault="00BB211C" w:rsidP="00BB211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28,578,251,641.5</w:t>
            </w:r>
          </w:p>
        </w:tc>
        <w:tc>
          <w:tcPr>
            <w:tcW w:w="1961" w:type="dxa"/>
            <w:tcBorders>
              <w:top w:val="nil"/>
              <w:left w:val="nil"/>
              <w:bottom w:val="single" w:sz="12" w:space="0" w:color="A6802D"/>
              <w:right w:val="nil"/>
            </w:tcBorders>
            <w:shd w:val="clear" w:color="000000" w:fill="F2F2F2"/>
            <w:vAlign w:val="center"/>
          </w:tcPr>
          <w:p w14:paraId="51C291FC" w14:textId="3F0CE981" w:rsidR="00BB211C" w:rsidRPr="00C60C18" w:rsidRDefault="00BB211C" w:rsidP="00BB211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42,949,312,833.2</w:t>
            </w:r>
          </w:p>
        </w:tc>
      </w:tr>
      <w:tr w:rsidR="006A5F0E" w:rsidRPr="00274555" w14:paraId="11E93816" w14:textId="77777777" w:rsidTr="00ED10B2">
        <w:trPr>
          <w:trHeight w:val="226"/>
          <w:jc w:val="center"/>
        </w:trPr>
        <w:tc>
          <w:tcPr>
            <w:tcW w:w="5475" w:type="dxa"/>
            <w:tcBorders>
              <w:top w:val="single" w:sz="12" w:space="0" w:color="A6802D"/>
              <w:left w:val="nil"/>
              <w:right w:val="nil"/>
            </w:tcBorders>
            <w:vAlign w:val="center"/>
          </w:tcPr>
          <w:p w14:paraId="05DFA6AB"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70098F16"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39C33C33"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58EC695B" w14:textId="77777777" w:rsidR="006A5F0E" w:rsidRDefault="00CE6C23" w:rsidP="00D461EC">
      <w:pPr>
        <w:pStyle w:val="Prrafodelista"/>
        <w:numPr>
          <w:ilvl w:val="0"/>
          <w:numId w:val="27"/>
        </w:numPr>
        <w:spacing w:after="120" w:line="250" w:lineRule="exact"/>
        <w:ind w:left="357" w:hanging="357"/>
        <w:rPr>
          <w:rFonts w:ascii="Noto Sans" w:hAnsi="Noto Sans" w:cs="Noto Sans"/>
          <w:sz w:val="18"/>
          <w:szCs w:val="18"/>
        </w:rPr>
      </w:pPr>
      <w:r>
        <w:rPr>
          <w:rFonts w:ascii="Noto Sans" w:hAnsi="Noto Sans" w:cs="Noto Sans"/>
          <w:sz w:val="18"/>
          <w:szCs w:val="18"/>
        </w:rPr>
        <w:lastRenderedPageBreak/>
        <w:t>2</w:t>
      </w:r>
      <w:r w:rsidR="006A5F0E" w:rsidRPr="00C60C18">
        <w:rPr>
          <w:rFonts w:ascii="Noto Sans" w:hAnsi="Noto Sans" w:cs="Noto Sans"/>
          <w:sz w:val="18"/>
          <w:szCs w:val="18"/>
        </w:rPr>
        <w:t>.</w:t>
      </w:r>
      <w:r w:rsidR="006A5F0E">
        <w:rPr>
          <w:rFonts w:ascii="Noto Sans" w:hAnsi="Noto Sans" w:cs="Noto Sans"/>
          <w:sz w:val="18"/>
          <w:szCs w:val="18"/>
        </w:rPr>
        <w:t>7</w:t>
      </w:r>
      <w:r w:rsidR="006A5F0E" w:rsidRPr="00C60C18">
        <w:rPr>
          <w:rFonts w:ascii="Noto Sans" w:hAnsi="Noto Sans" w:cs="Noto Sans"/>
          <w:sz w:val="18"/>
          <w:szCs w:val="18"/>
        </w:rPr>
        <w:t xml:space="preserve"> </w:t>
      </w:r>
      <w:r w:rsidR="006A5F0E">
        <w:rPr>
          <w:rFonts w:ascii="Noto Sans" w:hAnsi="Noto Sans" w:cs="Noto Sans"/>
          <w:sz w:val="18"/>
          <w:szCs w:val="18"/>
        </w:rPr>
        <w:t xml:space="preserve">Disminución de Inventarios </w:t>
      </w:r>
    </w:p>
    <w:p w14:paraId="0092ADF7" w14:textId="29DD1E84" w:rsidR="006A5F0E" w:rsidRDefault="00FE0B69" w:rsidP="006A5F0E">
      <w:pPr>
        <w:pStyle w:val="TEXTONORMAL"/>
      </w:pPr>
      <w:r>
        <w:rPr>
          <w:rFonts w:cs="Noto Sans"/>
          <w:szCs w:val="18"/>
        </w:rPr>
        <w:t>A</w:t>
      </w:r>
      <w:r w:rsidRPr="000F4D76">
        <w:rPr>
          <w:rFonts w:cs="Noto Sans"/>
          <w:szCs w:val="18"/>
        </w:rPr>
        <w:t xml:space="preserve">l </w:t>
      </w:r>
      <w:r w:rsidR="007A2E22" w:rsidRPr="002B3F78">
        <w:rPr>
          <w:rFonts w:cs="Noto Sans"/>
          <w:szCs w:val="18"/>
        </w:rPr>
        <w:t>3</w:t>
      </w:r>
      <w:r w:rsidR="007A2E22">
        <w:rPr>
          <w:rFonts w:cs="Noto Sans"/>
          <w:szCs w:val="18"/>
        </w:rPr>
        <w:t>0</w:t>
      </w:r>
      <w:r w:rsidR="007A2E22" w:rsidRPr="002B3F78">
        <w:rPr>
          <w:rFonts w:cs="Noto Sans"/>
          <w:szCs w:val="18"/>
        </w:rPr>
        <w:t xml:space="preserve"> de </w:t>
      </w:r>
      <w:r w:rsidR="007A2E22">
        <w:rPr>
          <w:rFonts w:cs="Noto Sans"/>
          <w:szCs w:val="18"/>
        </w:rPr>
        <w:t>junio</w:t>
      </w:r>
      <w:r w:rsidR="007A2E22" w:rsidRPr="002B3F78">
        <w:rPr>
          <w:rFonts w:cs="Noto Sans"/>
          <w:szCs w:val="18"/>
        </w:rPr>
        <w:t xml:space="preserve"> </w:t>
      </w:r>
      <w:r w:rsidRPr="000F4D76">
        <w:rPr>
          <w:rFonts w:cs="Noto Sans"/>
          <w:szCs w:val="18"/>
        </w:rPr>
        <w:t>de 2025 y 2024</w:t>
      </w:r>
      <w:r w:rsidR="006A5F0E">
        <w:t>, la Disminución de Inventarios se integra como sigue:</w:t>
      </w:r>
    </w:p>
    <w:p w14:paraId="5C4AF80E" w14:textId="77777777" w:rsidR="0067275A" w:rsidRDefault="0067275A"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3316913E"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6289168"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D5F10DC"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1D3A5309"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3CEB408"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BDD5117" w14:textId="552FFEFA"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47CA7B2" w14:textId="4A7880ED"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864049" w:rsidRPr="005946C5" w14:paraId="473041E4" w14:textId="77777777" w:rsidTr="00ED10B2">
        <w:trPr>
          <w:trHeight w:val="283"/>
          <w:jc w:val="center"/>
        </w:trPr>
        <w:tc>
          <w:tcPr>
            <w:tcW w:w="5475" w:type="dxa"/>
            <w:tcBorders>
              <w:top w:val="triple" w:sz="12" w:space="0" w:color="A6802D"/>
              <w:left w:val="nil"/>
              <w:bottom w:val="nil"/>
              <w:right w:val="nil"/>
            </w:tcBorders>
            <w:shd w:val="clear" w:color="000000" w:fill="F2F2F2"/>
            <w:vAlign w:val="center"/>
          </w:tcPr>
          <w:p w14:paraId="619049B3" w14:textId="6BAA46CA" w:rsidR="00864049" w:rsidRDefault="00864049" w:rsidP="00864049">
            <w:pPr>
              <w:spacing w:after="0" w:line="240" w:lineRule="auto"/>
              <w:jc w:val="both"/>
              <w:rPr>
                <w:rFonts w:ascii="Montserrat" w:eastAsia="Times New Roman" w:hAnsi="Montserrat"/>
                <w:color w:val="000000"/>
                <w:sz w:val="15"/>
                <w:szCs w:val="15"/>
                <w:lang w:eastAsia="es-MX"/>
              </w:rPr>
            </w:pPr>
            <w:r>
              <w:rPr>
                <w:rFonts w:ascii="Noto Sans" w:hAnsi="Noto Sans" w:cs="Noto Sans"/>
                <w:color w:val="000000"/>
                <w:sz w:val="15"/>
                <w:szCs w:val="15"/>
              </w:rPr>
              <w:t xml:space="preserve">Disminución por Variación de Inventarios </w:t>
            </w:r>
            <w:r>
              <w:rPr>
                <w:rFonts w:ascii="Noto Sans" w:hAnsi="Noto Sans" w:cs="Noto Sans"/>
                <w:b/>
                <w:bCs/>
                <w:color w:val="000000"/>
                <w:sz w:val="15"/>
                <w:szCs w:val="15"/>
              </w:rPr>
              <w:t>(2.7.a)</w:t>
            </w:r>
          </w:p>
        </w:tc>
        <w:tc>
          <w:tcPr>
            <w:tcW w:w="1960" w:type="dxa"/>
            <w:tcBorders>
              <w:top w:val="triple" w:sz="12" w:space="0" w:color="A6802D"/>
              <w:left w:val="nil"/>
              <w:bottom w:val="nil"/>
              <w:right w:val="nil"/>
            </w:tcBorders>
            <w:shd w:val="clear" w:color="000000" w:fill="F2F2F2"/>
            <w:vAlign w:val="center"/>
          </w:tcPr>
          <w:p w14:paraId="7768322A" w14:textId="154CBCBA" w:rsidR="00864049" w:rsidRDefault="00864049" w:rsidP="00864049">
            <w:pPr>
              <w:spacing w:after="0" w:line="240" w:lineRule="auto"/>
              <w:jc w:val="right"/>
              <w:rPr>
                <w:rFonts w:ascii="Montserrat" w:eastAsia="Times New Roman" w:hAnsi="Montserrat"/>
                <w:color w:val="000000"/>
                <w:sz w:val="15"/>
                <w:szCs w:val="15"/>
                <w:lang w:eastAsia="es-MX"/>
              </w:rPr>
            </w:pPr>
            <w:r>
              <w:rPr>
                <w:rFonts w:ascii="Noto Sans" w:hAnsi="Noto Sans" w:cs="Noto Sans"/>
                <w:color w:val="000000"/>
                <w:sz w:val="15"/>
                <w:szCs w:val="15"/>
              </w:rPr>
              <w:t>3,252,765,324.4</w:t>
            </w:r>
          </w:p>
        </w:tc>
        <w:tc>
          <w:tcPr>
            <w:tcW w:w="1961" w:type="dxa"/>
            <w:tcBorders>
              <w:top w:val="triple" w:sz="12" w:space="0" w:color="A6802D"/>
              <w:left w:val="nil"/>
              <w:bottom w:val="nil"/>
              <w:right w:val="nil"/>
            </w:tcBorders>
            <w:shd w:val="clear" w:color="000000" w:fill="F2F2F2"/>
            <w:vAlign w:val="center"/>
          </w:tcPr>
          <w:p w14:paraId="735962CD" w14:textId="214810F1" w:rsidR="00864049" w:rsidRPr="00B1293D" w:rsidRDefault="00864049" w:rsidP="00864049">
            <w:pPr>
              <w:spacing w:after="0" w:line="240" w:lineRule="auto"/>
              <w:jc w:val="right"/>
              <w:rPr>
                <w:rFonts w:ascii="Noto Sans" w:hAnsi="Noto Sans" w:cs="Noto Sans"/>
                <w:color w:val="000000"/>
                <w:sz w:val="15"/>
                <w:szCs w:val="15"/>
              </w:rPr>
            </w:pPr>
            <w:r w:rsidRPr="00B1293D">
              <w:rPr>
                <w:rFonts w:ascii="Noto Sans" w:hAnsi="Noto Sans" w:cs="Noto Sans"/>
                <w:color w:val="000000"/>
                <w:sz w:val="15"/>
                <w:szCs w:val="15"/>
              </w:rPr>
              <w:t>3,981,001,313.7</w:t>
            </w:r>
          </w:p>
        </w:tc>
      </w:tr>
      <w:tr w:rsidR="00864049" w:rsidRPr="00FC0913" w14:paraId="4ABB468F" w14:textId="77777777" w:rsidTr="00ED10B2">
        <w:trPr>
          <w:trHeight w:val="283"/>
          <w:jc w:val="center"/>
        </w:trPr>
        <w:tc>
          <w:tcPr>
            <w:tcW w:w="5475" w:type="dxa"/>
            <w:tcBorders>
              <w:top w:val="nil"/>
              <w:left w:val="nil"/>
              <w:bottom w:val="nil"/>
              <w:right w:val="nil"/>
            </w:tcBorders>
            <w:shd w:val="clear" w:color="000000" w:fill="F2F2F2"/>
            <w:vAlign w:val="center"/>
          </w:tcPr>
          <w:p w14:paraId="215CA591" w14:textId="43742658" w:rsidR="00864049" w:rsidRDefault="00864049" w:rsidP="00864049">
            <w:pPr>
              <w:spacing w:after="0" w:line="240" w:lineRule="auto"/>
              <w:jc w:val="both"/>
              <w:rPr>
                <w:rFonts w:ascii="Montserrat" w:eastAsia="Times New Roman" w:hAnsi="Montserrat"/>
                <w:color w:val="000000"/>
                <w:sz w:val="15"/>
                <w:szCs w:val="15"/>
                <w:lang w:eastAsia="es-MX"/>
              </w:rPr>
            </w:pPr>
            <w:r>
              <w:rPr>
                <w:rFonts w:ascii="Noto Sans" w:hAnsi="Noto Sans" w:cs="Noto Sans"/>
                <w:color w:val="000000"/>
                <w:sz w:val="15"/>
                <w:szCs w:val="15"/>
              </w:rPr>
              <w:t>Disminución de Inventarios de Mercancías para Venta</w:t>
            </w:r>
          </w:p>
        </w:tc>
        <w:tc>
          <w:tcPr>
            <w:tcW w:w="1960" w:type="dxa"/>
            <w:tcBorders>
              <w:top w:val="nil"/>
              <w:left w:val="nil"/>
              <w:bottom w:val="nil"/>
              <w:right w:val="nil"/>
            </w:tcBorders>
            <w:shd w:val="clear" w:color="000000" w:fill="F2F2F2"/>
            <w:vAlign w:val="center"/>
          </w:tcPr>
          <w:p w14:paraId="7A486811" w14:textId="015C6DE6" w:rsidR="00864049" w:rsidRDefault="00864049" w:rsidP="00864049">
            <w:pPr>
              <w:spacing w:after="0" w:line="240" w:lineRule="auto"/>
              <w:jc w:val="right"/>
              <w:rPr>
                <w:rFonts w:ascii="Montserrat" w:eastAsia="Times New Roman" w:hAnsi="Montserrat"/>
                <w:color w:val="000000"/>
                <w:sz w:val="15"/>
                <w:szCs w:val="15"/>
                <w:lang w:eastAsia="es-MX"/>
              </w:rPr>
            </w:pPr>
            <w:r>
              <w:rPr>
                <w:rFonts w:ascii="Noto Sans" w:hAnsi="Noto Sans" w:cs="Noto Sans"/>
                <w:color w:val="000000"/>
                <w:sz w:val="15"/>
                <w:szCs w:val="15"/>
              </w:rPr>
              <w:t>1,966,120.8</w:t>
            </w:r>
          </w:p>
        </w:tc>
        <w:tc>
          <w:tcPr>
            <w:tcW w:w="1961" w:type="dxa"/>
            <w:tcBorders>
              <w:top w:val="nil"/>
              <w:left w:val="nil"/>
              <w:bottom w:val="nil"/>
              <w:right w:val="nil"/>
            </w:tcBorders>
            <w:shd w:val="clear" w:color="000000" w:fill="F2F2F2"/>
            <w:vAlign w:val="center"/>
          </w:tcPr>
          <w:p w14:paraId="46CD3D73" w14:textId="1C2D1DA0" w:rsidR="00864049" w:rsidRPr="00B1293D" w:rsidRDefault="00864049" w:rsidP="00864049">
            <w:pPr>
              <w:spacing w:after="0" w:line="240" w:lineRule="auto"/>
              <w:jc w:val="right"/>
              <w:rPr>
                <w:rFonts w:ascii="Noto Sans" w:hAnsi="Noto Sans" w:cs="Noto Sans"/>
                <w:color w:val="000000"/>
                <w:sz w:val="15"/>
                <w:szCs w:val="15"/>
              </w:rPr>
            </w:pPr>
            <w:r w:rsidRPr="00B1293D">
              <w:rPr>
                <w:rFonts w:ascii="Noto Sans" w:hAnsi="Noto Sans" w:cs="Noto Sans"/>
                <w:color w:val="000000"/>
                <w:sz w:val="15"/>
                <w:szCs w:val="15"/>
              </w:rPr>
              <w:t>635,147.3</w:t>
            </w:r>
          </w:p>
        </w:tc>
      </w:tr>
      <w:tr w:rsidR="00864049" w:rsidRPr="005946C5" w14:paraId="2ABD2CCE" w14:textId="77777777" w:rsidTr="00ED10B2">
        <w:trPr>
          <w:trHeight w:val="283"/>
          <w:jc w:val="center"/>
        </w:trPr>
        <w:tc>
          <w:tcPr>
            <w:tcW w:w="5475" w:type="dxa"/>
            <w:tcBorders>
              <w:top w:val="nil"/>
              <w:left w:val="nil"/>
              <w:bottom w:val="single" w:sz="12" w:space="0" w:color="A6802D"/>
              <w:right w:val="nil"/>
            </w:tcBorders>
            <w:shd w:val="clear" w:color="000000" w:fill="F2F2F2"/>
            <w:vAlign w:val="center"/>
          </w:tcPr>
          <w:p w14:paraId="0D8EB75D" w14:textId="3DE46E35" w:rsidR="00864049" w:rsidRDefault="00864049" w:rsidP="00864049">
            <w:pPr>
              <w:spacing w:after="0" w:line="240" w:lineRule="auto"/>
              <w:rPr>
                <w:rFonts w:ascii="Montserrat" w:eastAsia="Times New Roman" w:hAnsi="Montserrat"/>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Disminución de Inventarios</w:t>
            </w:r>
          </w:p>
        </w:tc>
        <w:tc>
          <w:tcPr>
            <w:tcW w:w="1960" w:type="dxa"/>
            <w:tcBorders>
              <w:top w:val="nil"/>
              <w:left w:val="nil"/>
              <w:bottom w:val="single" w:sz="12" w:space="0" w:color="A6802D"/>
              <w:right w:val="nil"/>
            </w:tcBorders>
            <w:shd w:val="clear" w:color="000000" w:fill="F2F2F2"/>
            <w:vAlign w:val="center"/>
          </w:tcPr>
          <w:p w14:paraId="371D3557" w14:textId="7CB6E40F" w:rsidR="00864049" w:rsidRDefault="00864049" w:rsidP="00864049">
            <w:pPr>
              <w:spacing w:after="0" w:line="240" w:lineRule="auto"/>
              <w:jc w:val="right"/>
              <w:rPr>
                <w:rFonts w:ascii="Montserrat" w:eastAsia="Times New Roman" w:hAnsi="Montserrat"/>
                <w:b/>
                <w:bCs/>
                <w:color w:val="000000"/>
                <w:sz w:val="15"/>
                <w:szCs w:val="15"/>
                <w:lang w:eastAsia="es-MX"/>
              </w:rPr>
            </w:pPr>
            <w:r w:rsidRPr="00B1293D">
              <w:rPr>
                <w:rFonts w:ascii="Noto Sans" w:hAnsi="Noto Sans" w:cs="Noto Sans"/>
                <w:b/>
                <w:bCs/>
                <w:color w:val="000000"/>
                <w:sz w:val="15"/>
                <w:szCs w:val="15"/>
              </w:rPr>
              <w:t>3,254,731,445.2</w:t>
            </w:r>
          </w:p>
        </w:tc>
        <w:tc>
          <w:tcPr>
            <w:tcW w:w="1961" w:type="dxa"/>
            <w:tcBorders>
              <w:top w:val="nil"/>
              <w:left w:val="nil"/>
              <w:bottom w:val="single" w:sz="12" w:space="0" w:color="A6802D"/>
              <w:right w:val="nil"/>
            </w:tcBorders>
            <w:shd w:val="clear" w:color="000000" w:fill="F2F2F2"/>
            <w:vAlign w:val="center"/>
          </w:tcPr>
          <w:p w14:paraId="76941A2D" w14:textId="3FAF0E29" w:rsidR="00864049" w:rsidRDefault="00864049" w:rsidP="00864049">
            <w:pPr>
              <w:spacing w:after="0" w:line="240" w:lineRule="auto"/>
              <w:jc w:val="right"/>
              <w:rPr>
                <w:rFonts w:ascii="Montserrat" w:eastAsia="Times New Roman" w:hAnsi="Montserrat"/>
                <w:b/>
                <w:bCs/>
                <w:color w:val="000000"/>
                <w:sz w:val="15"/>
                <w:szCs w:val="15"/>
                <w:lang w:eastAsia="es-MX"/>
              </w:rPr>
            </w:pPr>
            <w:r w:rsidRPr="00B1293D">
              <w:rPr>
                <w:rFonts w:ascii="Noto Sans" w:hAnsi="Noto Sans" w:cs="Noto Sans"/>
                <w:b/>
                <w:bCs/>
                <w:color w:val="000000"/>
                <w:sz w:val="15"/>
                <w:szCs w:val="15"/>
              </w:rPr>
              <w:t>3,981,636,461.0</w:t>
            </w:r>
          </w:p>
        </w:tc>
      </w:tr>
      <w:tr w:rsidR="006A5F0E" w:rsidRPr="00274555" w14:paraId="6B53EC90" w14:textId="77777777" w:rsidTr="00ED10B2">
        <w:trPr>
          <w:trHeight w:val="226"/>
          <w:jc w:val="center"/>
        </w:trPr>
        <w:tc>
          <w:tcPr>
            <w:tcW w:w="5475" w:type="dxa"/>
            <w:tcBorders>
              <w:top w:val="single" w:sz="12" w:space="0" w:color="A6802D"/>
              <w:left w:val="nil"/>
              <w:right w:val="nil"/>
            </w:tcBorders>
            <w:vAlign w:val="center"/>
          </w:tcPr>
          <w:p w14:paraId="366CA970"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1ACF5EC"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6363161B"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0DA75098" w14:textId="77777777" w:rsidR="006A5F0E" w:rsidRDefault="006A5F0E" w:rsidP="006A5F0E">
      <w:pPr>
        <w:pStyle w:val="TEXTONORMAL"/>
      </w:pPr>
    </w:p>
    <w:p w14:paraId="66CB897E" w14:textId="33B93927" w:rsidR="006A5F0E" w:rsidRPr="004C0F5A" w:rsidRDefault="00CE6C23" w:rsidP="00D461EC">
      <w:pPr>
        <w:pStyle w:val="Prrafodelista"/>
        <w:numPr>
          <w:ilvl w:val="0"/>
          <w:numId w:val="28"/>
        </w:numPr>
        <w:autoSpaceDE w:val="0"/>
        <w:autoSpaceDN w:val="0"/>
        <w:spacing w:after="120" w:line="250" w:lineRule="exact"/>
        <w:ind w:left="714" w:hanging="357"/>
        <w:jc w:val="both"/>
        <w:rPr>
          <w:rFonts w:ascii="Noto Sans" w:hAnsi="Noto Sans" w:cs="Noto Sans"/>
          <w:sz w:val="18"/>
          <w:szCs w:val="18"/>
        </w:rPr>
      </w:pPr>
      <w:r w:rsidRPr="004C0F5A">
        <w:rPr>
          <w:rFonts w:ascii="Montserrat" w:hAnsi="Montserrat"/>
          <w:sz w:val="18"/>
          <w:szCs w:val="18"/>
        </w:rPr>
        <w:t>2</w:t>
      </w:r>
      <w:r w:rsidR="006A5F0E" w:rsidRPr="004C0F5A">
        <w:rPr>
          <w:rFonts w:ascii="Montserrat" w:hAnsi="Montserrat"/>
          <w:sz w:val="18"/>
          <w:szCs w:val="18"/>
        </w:rPr>
        <w:t>.7.a)</w:t>
      </w:r>
      <w:r w:rsidR="006A5F0E" w:rsidRPr="00C60C18">
        <w:rPr>
          <w:rFonts w:ascii="Montserrat" w:hAnsi="Montserrat"/>
          <w:sz w:val="18"/>
          <w:szCs w:val="18"/>
        </w:rPr>
        <w:t xml:space="preserve"> </w:t>
      </w:r>
      <w:r w:rsidR="000A4D40" w:rsidRPr="00251FCD">
        <w:rPr>
          <w:rFonts w:ascii="Noto Sans" w:hAnsi="Noto Sans" w:cs="Noto Sans"/>
          <w:sz w:val="18"/>
          <w:szCs w:val="18"/>
        </w:rPr>
        <w:t xml:space="preserve">Al </w:t>
      </w:r>
      <w:r w:rsidR="007A2E22" w:rsidRPr="0062102B">
        <w:rPr>
          <w:rFonts w:ascii="Noto Sans" w:hAnsi="Noto Sans" w:cs="Noto Sans"/>
          <w:sz w:val="18"/>
          <w:szCs w:val="18"/>
        </w:rPr>
        <w:t xml:space="preserve">30 de junio </w:t>
      </w:r>
      <w:r w:rsidR="000A4D40" w:rsidRPr="00251FCD">
        <w:rPr>
          <w:rFonts w:ascii="Noto Sans" w:hAnsi="Noto Sans" w:cs="Noto Sans"/>
          <w:sz w:val="18"/>
          <w:szCs w:val="18"/>
        </w:rPr>
        <w:t>de 2025 y 2024</w:t>
      </w:r>
      <w:r w:rsidR="006A5F0E" w:rsidRPr="004C0F5A">
        <w:rPr>
          <w:rFonts w:ascii="Noto Sans" w:hAnsi="Noto Sans" w:cs="Noto Sans"/>
          <w:sz w:val="18"/>
          <w:szCs w:val="18"/>
        </w:rPr>
        <w:t xml:space="preserve">, se registraron movimientos contables que no afectan el flujo de efectivo del Instituto, por </w:t>
      </w:r>
      <w:r w:rsidR="00C30B50">
        <w:rPr>
          <w:rFonts w:ascii="Noto Sans" w:hAnsi="Noto Sans" w:cs="Noto Sans"/>
          <w:sz w:val="18"/>
          <w:szCs w:val="18"/>
        </w:rPr>
        <w:t>3,252,765,324.4</w:t>
      </w:r>
      <w:r w:rsidR="004A1B02" w:rsidRPr="00A87A3F">
        <w:rPr>
          <w:rFonts w:ascii="Noto Sans" w:hAnsi="Noto Sans" w:cs="Noto Sans"/>
          <w:sz w:val="18"/>
          <w:szCs w:val="18"/>
        </w:rPr>
        <w:t xml:space="preserve"> </w:t>
      </w:r>
      <w:r w:rsidR="006A5F0E" w:rsidRPr="00A87A3F">
        <w:rPr>
          <w:rFonts w:ascii="Noto Sans" w:hAnsi="Noto Sans" w:cs="Noto Sans"/>
          <w:sz w:val="18"/>
          <w:szCs w:val="18"/>
        </w:rPr>
        <w:t xml:space="preserve">pesos y </w:t>
      </w:r>
      <w:r w:rsidR="00C30B50">
        <w:rPr>
          <w:rFonts w:ascii="Noto Sans" w:hAnsi="Noto Sans" w:cs="Noto Sans"/>
          <w:sz w:val="18"/>
          <w:szCs w:val="18"/>
        </w:rPr>
        <w:t>3,981,001,313.7</w:t>
      </w:r>
      <w:r w:rsidR="004B2A57" w:rsidRPr="00A87A3F">
        <w:rPr>
          <w:rFonts w:ascii="Noto Sans" w:hAnsi="Noto Sans" w:cs="Noto Sans"/>
          <w:sz w:val="18"/>
          <w:szCs w:val="18"/>
        </w:rPr>
        <w:t xml:space="preserve"> </w:t>
      </w:r>
      <w:r w:rsidR="006A5F0E" w:rsidRPr="00A87A3F">
        <w:rPr>
          <w:rFonts w:ascii="Noto Sans" w:hAnsi="Noto Sans" w:cs="Noto Sans"/>
          <w:sz w:val="18"/>
          <w:szCs w:val="18"/>
        </w:rPr>
        <w:t>pesos, respectivamente, por la disminución en la variación de inventarios, esto debido a la variación de</w:t>
      </w:r>
      <w:r w:rsidR="006A5F0E" w:rsidRPr="004C0F5A">
        <w:rPr>
          <w:rFonts w:ascii="Noto Sans" w:hAnsi="Noto Sans" w:cs="Noto Sans"/>
          <w:sz w:val="18"/>
          <w:szCs w:val="18"/>
        </w:rPr>
        <w:t xml:space="preserve"> precios como resultado de comparar el precio unitario uniforme o el precio establecido en el catálogo institucional, respecto al precio de compra indicado en el alta. </w:t>
      </w:r>
    </w:p>
    <w:p w14:paraId="2966A268" w14:textId="77777777" w:rsidR="006A5F0E" w:rsidRPr="004C0F5A" w:rsidRDefault="006A5F0E" w:rsidP="006A5F0E">
      <w:pPr>
        <w:pStyle w:val="Prrafodelista"/>
        <w:autoSpaceDE w:val="0"/>
        <w:autoSpaceDN w:val="0"/>
        <w:spacing w:after="120" w:line="250" w:lineRule="exact"/>
        <w:ind w:left="714"/>
        <w:jc w:val="both"/>
        <w:rPr>
          <w:rFonts w:ascii="Noto Sans" w:hAnsi="Noto Sans" w:cs="Noto Sans"/>
          <w:b/>
          <w:sz w:val="18"/>
          <w:szCs w:val="18"/>
        </w:rPr>
      </w:pPr>
    </w:p>
    <w:p w14:paraId="61713E61" w14:textId="77777777" w:rsidR="006A5F0E" w:rsidRPr="004C0F5A" w:rsidRDefault="006A5F0E" w:rsidP="006A5F0E">
      <w:pPr>
        <w:pStyle w:val="Prrafodelista"/>
        <w:autoSpaceDE w:val="0"/>
        <w:autoSpaceDN w:val="0"/>
        <w:spacing w:after="120" w:line="250" w:lineRule="exact"/>
        <w:ind w:left="714"/>
        <w:jc w:val="both"/>
        <w:rPr>
          <w:rFonts w:ascii="Noto Sans" w:hAnsi="Noto Sans" w:cs="Noto Sans"/>
          <w:sz w:val="18"/>
          <w:szCs w:val="18"/>
        </w:rPr>
      </w:pPr>
      <w:r w:rsidRPr="004C0F5A">
        <w:rPr>
          <w:rFonts w:ascii="Noto Sans" w:hAnsi="Noto Sans" w:cs="Noto Sans"/>
          <w:sz w:val="18"/>
          <w:szCs w:val="18"/>
        </w:rPr>
        <w:t xml:space="preserve">Así como por la variación en los almacenes por la diferencia en contra entre el resultado en libros y el real de las existencias de materiales y suministros de consumo al fin de cada período. El inventario físico de la totalidad de los bienes se efectúa una vez al año en todas las unidades </w:t>
      </w:r>
      <w:proofErr w:type="spellStart"/>
      <w:r w:rsidRPr="004C0F5A">
        <w:rPr>
          <w:rFonts w:ascii="Noto Sans" w:hAnsi="Noto Sans" w:cs="Noto Sans"/>
          <w:sz w:val="18"/>
          <w:szCs w:val="18"/>
        </w:rPr>
        <w:t>almacenarias</w:t>
      </w:r>
      <w:proofErr w:type="spellEnd"/>
      <w:r w:rsidRPr="004C0F5A">
        <w:rPr>
          <w:rFonts w:ascii="Noto Sans" w:hAnsi="Noto Sans" w:cs="Noto Sans"/>
          <w:sz w:val="18"/>
          <w:szCs w:val="18"/>
        </w:rPr>
        <w:t xml:space="preserve"> del Instituto para determinar las existencias físicas reales y su valor.</w:t>
      </w:r>
    </w:p>
    <w:p w14:paraId="5072FDD5" w14:textId="77777777" w:rsidR="00697923" w:rsidRPr="004C0F5A" w:rsidRDefault="00697923" w:rsidP="006A5F0E">
      <w:pPr>
        <w:pStyle w:val="Prrafodelista"/>
        <w:autoSpaceDE w:val="0"/>
        <w:autoSpaceDN w:val="0"/>
        <w:spacing w:after="120" w:line="250" w:lineRule="exact"/>
        <w:ind w:left="714"/>
        <w:jc w:val="both"/>
        <w:rPr>
          <w:rFonts w:ascii="Noto Sans" w:hAnsi="Noto Sans" w:cs="Noto Sans"/>
          <w:sz w:val="18"/>
          <w:szCs w:val="18"/>
        </w:rPr>
      </w:pPr>
    </w:p>
    <w:p w14:paraId="6680B21D" w14:textId="77777777" w:rsidR="00697923" w:rsidRDefault="00697923" w:rsidP="006A5F0E">
      <w:pPr>
        <w:pStyle w:val="Prrafodelista"/>
        <w:autoSpaceDE w:val="0"/>
        <w:autoSpaceDN w:val="0"/>
        <w:spacing w:after="120" w:line="250" w:lineRule="exact"/>
        <w:ind w:left="714"/>
        <w:jc w:val="both"/>
        <w:rPr>
          <w:rFonts w:ascii="Montserrat" w:hAnsi="Montserrat"/>
          <w:sz w:val="18"/>
          <w:szCs w:val="18"/>
        </w:rPr>
      </w:pPr>
    </w:p>
    <w:p w14:paraId="723DE54A" w14:textId="77777777" w:rsidR="006A5F0E" w:rsidRPr="003227AD" w:rsidRDefault="004902A0" w:rsidP="00D461EC">
      <w:pPr>
        <w:pStyle w:val="Prrafodelista"/>
        <w:numPr>
          <w:ilvl w:val="0"/>
          <w:numId w:val="29"/>
        </w:numPr>
        <w:spacing w:after="120" w:line="250" w:lineRule="exact"/>
        <w:ind w:left="357" w:hanging="357"/>
        <w:rPr>
          <w:rFonts w:ascii="Noto Sans" w:hAnsi="Noto Sans" w:cs="Noto Sans"/>
          <w:sz w:val="18"/>
          <w:szCs w:val="18"/>
        </w:rPr>
      </w:pPr>
      <w:r w:rsidRPr="003227AD">
        <w:rPr>
          <w:rFonts w:ascii="Noto Sans" w:hAnsi="Noto Sans" w:cs="Noto Sans"/>
          <w:sz w:val="18"/>
          <w:szCs w:val="18"/>
        </w:rPr>
        <w:t>2</w:t>
      </w:r>
      <w:r w:rsidR="006A5F0E" w:rsidRPr="003227AD">
        <w:rPr>
          <w:rFonts w:ascii="Noto Sans" w:hAnsi="Noto Sans" w:cs="Noto Sans"/>
          <w:sz w:val="18"/>
          <w:szCs w:val="18"/>
        </w:rPr>
        <w:t>.8 Otros Gastos</w:t>
      </w:r>
    </w:p>
    <w:p w14:paraId="4B923128" w14:textId="032F54AE" w:rsidR="006A5F0E" w:rsidRDefault="00FE0B69" w:rsidP="006A5F0E">
      <w:pPr>
        <w:pStyle w:val="TEXTONORMAL"/>
      </w:pPr>
      <w:r>
        <w:rPr>
          <w:rFonts w:cs="Noto Sans"/>
          <w:szCs w:val="18"/>
        </w:rPr>
        <w:t>A</w:t>
      </w:r>
      <w:r w:rsidRPr="000F4D76">
        <w:rPr>
          <w:rFonts w:cs="Noto Sans"/>
          <w:szCs w:val="18"/>
        </w:rPr>
        <w:t xml:space="preserve">l </w:t>
      </w:r>
      <w:r w:rsidR="00C352DC" w:rsidRPr="002B3F78">
        <w:rPr>
          <w:rFonts w:cs="Noto Sans"/>
          <w:szCs w:val="18"/>
        </w:rPr>
        <w:t>3</w:t>
      </w:r>
      <w:r w:rsidR="00C352DC">
        <w:rPr>
          <w:rFonts w:cs="Noto Sans"/>
          <w:szCs w:val="18"/>
        </w:rPr>
        <w:t>0</w:t>
      </w:r>
      <w:r w:rsidR="00C352DC" w:rsidRPr="002B3F78">
        <w:rPr>
          <w:rFonts w:cs="Noto Sans"/>
          <w:szCs w:val="18"/>
        </w:rPr>
        <w:t xml:space="preserve"> de </w:t>
      </w:r>
      <w:r w:rsidR="00C352DC">
        <w:rPr>
          <w:rFonts w:cs="Noto Sans"/>
          <w:szCs w:val="18"/>
        </w:rPr>
        <w:t>junio</w:t>
      </w:r>
      <w:r w:rsidR="00C352DC" w:rsidRPr="002B3F78">
        <w:rPr>
          <w:rFonts w:cs="Noto Sans"/>
          <w:szCs w:val="18"/>
        </w:rPr>
        <w:t xml:space="preserve"> </w:t>
      </w:r>
      <w:r w:rsidRPr="000F4D76">
        <w:rPr>
          <w:rFonts w:cs="Noto Sans"/>
          <w:szCs w:val="18"/>
        </w:rPr>
        <w:t>de 2025 y 2024</w:t>
      </w:r>
      <w:r w:rsidR="006A5F0E">
        <w:t>, el rubro de Otro</w:t>
      </w:r>
      <w:r w:rsidR="004902A0">
        <w:t>s Gastos se integra como sigue:</w:t>
      </w:r>
    </w:p>
    <w:p w14:paraId="098BA8F7" w14:textId="77777777" w:rsidR="00EE66FA" w:rsidRDefault="00EE66FA" w:rsidP="006A5F0E">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A5F0E" w:rsidRPr="005946C5" w14:paraId="078A5FE1" w14:textId="77777777" w:rsidTr="00ED10B2">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274AD50"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1129B17A" w14:textId="77777777" w:rsidR="006A5F0E" w:rsidRPr="008E629A" w:rsidRDefault="006A5F0E" w:rsidP="00ED10B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F27A9" w:rsidRPr="005946C5" w14:paraId="0486EEE6" w14:textId="77777777" w:rsidTr="00ED10B2">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28CE3F2" w14:textId="77777777"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211B75F" w14:textId="3E6ACAB6"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CB4860A" w14:textId="79AD4474" w:rsidR="00CF27A9" w:rsidRPr="008E629A" w:rsidRDefault="00CF27A9" w:rsidP="00ED10B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71C7B" w:rsidRPr="005946C5" w14:paraId="2C1F2674" w14:textId="77777777" w:rsidTr="00ED10B2">
        <w:trPr>
          <w:trHeight w:val="283"/>
          <w:jc w:val="center"/>
        </w:trPr>
        <w:tc>
          <w:tcPr>
            <w:tcW w:w="5475" w:type="dxa"/>
            <w:tcBorders>
              <w:top w:val="triple" w:sz="12" w:space="0" w:color="A6802D"/>
              <w:left w:val="nil"/>
              <w:bottom w:val="nil"/>
              <w:right w:val="nil"/>
            </w:tcBorders>
            <w:shd w:val="clear" w:color="000000" w:fill="F2F2F2"/>
            <w:vAlign w:val="center"/>
          </w:tcPr>
          <w:p w14:paraId="4787A90C" w14:textId="143DE1ED" w:rsidR="00271C7B" w:rsidRPr="004C0F5A" w:rsidRDefault="00271C7B" w:rsidP="00271C7B">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Gastos Varios</w:t>
            </w:r>
          </w:p>
        </w:tc>
        <w:tc>
          <w:tcPr>
            <w:tcW w:w="1960" w:type="dxa"/>
            <w:tcBorders>
              <w:top w:val="triple" w:sz="12" w:space="0" w:color="A6802D"/>
              <w:left w:val="nil"/>
              <w:bottom w:val="nil"/>
              <w:right w:val="nil"/>
            </w:tcBorders>
            <w:shd w:val="clear" w:color="000000" w:fill="F2F2F2"/>
            <w:vAlign w:val="center"/>
          </w:tcPr>
          <w:p w14:paraId="3A6D13BE" w14:textId="640B305B" w:rsidR="00271C7B" w:rsidRPr="00EE66FA" w:rsidRDefault="00EE66FA" w:rsidP="00EE66FA">
            <w:pPr>
              <w:spacing w:after="0" w:line="240" w:lineRule="auto"/>
              <w:jc w:val="right"/>
              <w:rPr>
                <w:rFonts w:ascii="Noto Sans" w:hAnsi="Noto Sans" w:cs="Noto Sans"/>
                <w:color w:val="000000"/>
                <w:sz w:val="15"/>
                <w:szCs w:val="15"/>
                <w:lang w:eastAsia="es-MX"/>
              </w:rPr>
            </w:pPr>
            <w:r>
              <w:rPr>
                <w:rFonts w:ascii="Noto Sans" w:hAnsi="Noto Sans" w:cs="Noto Sans"/>
                <w:color w:val="000000"/>
                <w:sz w:val="15"/>
                <w:szCs w:val="15"/>
              </w:rPr>
              <w:t>457,808,524.2</w:t>
            </w:r>
          </w:p>
        </w:tc>
        <w:tc>
          <w:tcPr>
            <w:tcW w:w="1961" w:type="dxa"/>
            <w:tcBorders>
              <w:top w:val="triple" w:sz="12" w:space="0" w:color="A6802D"/>
              <w:left w:val="nil"/>
              <w:bottom w:val="nil"/>
              <w:right w:val="nil"/>
            </w:tcBorders>
            <w:shd w:val="clear" w:color="000000" w:fill="F2F2F2"/>
            <w:vAlign w:val="center"/>
          </w:tcPr>
          <w:p w14:paraId="059B2676" w14:textId="0EDB3AEA" w:rsidR="00271C7B" w:rsidRPr="004C0F5A" w:rsidRDefault="00271C7B" w:rsidP="00271C7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571,235,721.4</w:t>
            </w:r>
          </w:p>
        </w:tc>
      </w:tr>
      <w:tr w:rsidR="00271C7B" w:rsidRPr="00FC0913" w14:paraId="3E4F21D6" w14:textId="77777777" w:rsidTr="00ED10B2">
        <w:trPr>
          <w:trHeight w:val="283"/>
          <w:jc w:val="center"/>
        </w:trPr>
        <w:tc>
          <w:tcPr>
            <w:tcW w:w="5475" w:type="dxa"/>
            <w:tcBorders>
              <w:top w:val="nil"/>
              <w:left w:val="nil"/>
              <w:bottom w:val="nil"/>
              <w:right w:val="nil"/>
            </w:tcBorders>
            <w:shd w:val="clear" w:color="000000" w:fill="F2F2F2"/>
            <w:vAlign w:val="center"/>
          </w:tcPr>
          <w:p w14:paraId="421302B6" w14:textId="6E841300" w:rsidR="00271C7B" w:rsidRPr="004C0F5A" w:rsidRDefault="00271C7B" w:rsidP="00271C7B">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Diferencias por Tipo de Cambio Negativas </w:t>
            </w:r>
            <w:r>
              <w:rPr>
                <w:rFonts w:ascii="Noto Sans" w:hAnsi="Noto Sans" w:cs="Noto Sans"/>
                <w:b/>
                <w:bCs/>
                <w:color w:val="000000"/>
                <w:sz w:val="15"/>
                <w:szCs w:val="15"/>
              </w:rPr>
              <w:t>(2.8.a)</w:t>
            </w:r>
          </w:p>
        </w:tc>
        <w:tc>
          <w:tcPr>
            <w:tcW w:w="1960" w:type="dxa"/>
            <w:tcBorders>
              <w:top w:val="nil"/>
              <w:left w:val="nil"/>
              <w:bottom w:val="nil"/>
              <w:right w:val="nil"/>
            </w:tcBorders>
            <w:shd w:val="clear" w:color="000000" w:fill="F2F2F2"/>
            <w:vAlign w:val="center"/>
          </w:tcPr>
          <w:p w14:paraId="6E5BE066" w14:textId="517A8348" w:rsidR="00271C7B" w:rsidRPr="004C0F5A" w:rsidRDefault="00EE66FA" w:rsidP="00271C7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w:t>
            </w:r>
            <w:r w:rsidR="00271C7B">
              <w:rPr>
                <w:rFonts w:ascii="Noto Sans" w:hAnsi="Noto Sans" w:cs="Noto Sans"/>
                <w:color w:val="000000"/>
                <w:sz w:val="15"/>
                <w:szCs w:val="15"/>
              </w:rPr>
              <w:t>0,447,429.8</w:t>
            </w:r>
          </w:p>
        </w:tc>
        <w:tc>
          <w:tcPr>
            <w:tcW w:w="1961" w:type="dxa"/>
            <w:tcBorders>
              <w:top w:val="nil"/>
              <w:left w:val="nil"/>
              <w:bottom w:val="nil"/>
              <w:right w:val="nil"/>
            </w:tcBorders>
            <w:shd w:val="clear" w:color="000000" w:fill="F2F2F2"/>
            <w:vAlign w:val="center"/>
          </w:tcPr>
          <w:p w14:paraId="55BC928D" w14:textId="5DACE1DD" w:rsidR="00271C7B" w:rsidRPr="004C0F5A" w:rsidRDefault="00271C7B" w:rsidP="00271C7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902,704,147.5</w:t>
            </w:r>
          </w:p>
        </w:tc>
      </w:tr>
      <w:tr w:rsidR="00271C7B" w:rsidRPr="005946C5" w14:paraId="6526CE53" w14:textId="77777777" w:rsidTr="00ED10B2">
        <w:trPr>
          <w:trHeight w:val="283"/>
          <w:jc w:val="center"/>
        </w:trPr>
        <w:tc>
          <w:tcPr>
            <w:tcW w:w="5475" w:type="dxa"/>
            <w:tcBorders>
              <w:top w:val="nil"/>
              <w:left w:val="nil"/>
              <w:bottom w:val="single" w:sz="12" w:space="0" w:color="A6802D"/>
              <w:right w:val="nil"/>
            </w:tcBorders>
            <w:shd w:val="clear" w:color="000000" w:fill="F2F2F2"/>
            <w:vAlign w:val="center"/>
          </w:tcPr>
          <w:p w14:paraId="7CD1D6D2" w14:textId="0D713A1C" w:rsidR="00271C7B" w:rsidRPr="004C0F5A" w:rsidRDefault="00271C7B" w:rsidP="00271C7B">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Gastos</w:t>
            </w:r>
          </w:p>
        </w:tc>
        <w:tc>
          <w:tcPr>
            <w:tcW w:w="1960" w:type="dxa"/>
            <w:tcBorders>
              <w:top w:val="nil"/>
              <w:left w:val="nil"/>
              <w:bottom w:val="single" w:sz="12" w:space="0" w:color="A6802D"/>
              <w:right w:val="nil"/>
            </w:tcBorders>
            <w:shd w:val="clear" w:color="000000" w:fill="F2F2F2"/>
            <w:vAlign w:val="center"/>
          </w:tcPr>
          <w:p w14:paraId="192B2C74" w14:textId="463DB9E6" w:rsidR="00271C7B" w:rsidRPr="004C0F5A" w:rsidRDefault="00A14153" w:rsidP="00271C7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478,255,954.0</w:t>
            </w:r>
          </w:p>
        </w:tc>
        <w:tc>
          <w:tcPr>
            <w:tcW w:w="1961" w:type="dxa"/>
            <w:tcBorders>
              <w:top w:val="nil"/>
              <w:left w:val="nil"/>
              <w:bottom w:val="single" w:sz="12" w:space="0" w:color="A6802D"/>
              <w:right w:val="nil"/>
            </w:tcBorders>
            <w:shd w:val="clear" w:color="000000" w:fill="F2F2F2"/>
            <w:vAlign w:val="center"/>
          </w:tcPr>
          <w:p w14:paraId="285522DA" w14:textId="1466E680" w:rsidR="00271C7B" w:rsidRPr="004C0F5A" w:rsidRDefault="00271C7B" w:rsidP="00271C7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1,473,939,868.9</w:t>
            </w:r>
          </w:p>
        </w:tc>
      </w:tr>
      <w:tr w:rsidR="006A5F0E" w:rsidRPr="00274555" w14:paraId="505168D5" w14:textId="77777777" w:rsidTr="00ED10B2">
        <w:trPr>
          <w:trHeight w:val="226"/>
          <w:jc w:val="center"/>
        </w:trPr>
        <w:tc>
          <w:tcPr>
            <w:tcW w:w="5475" w:type="dxa"/>
            <w:tcBorders>
              <w:top w:val="single" w:sz="12" w:space="0" w:color="A6802D"/>
              <w:left w:val="nil"/>
              <w:right w:val="nil"/>
            </w:tcBorders>
            <w:vAlign w:val="center"/>
          </w:tcPr>
          <w:p w14:paraId="1CC62AC9" w14:textId="77777777" w:rsidR="006A5F0E" w:rsidRPr="00274555" w:rsidRDefault="006A5F0E" w:rsidP="00ED10B2">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79641252"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0F1FC190" w14:textId="77777777" w:rsidR="006A5F0E" w:rsidRPr="00274555" w:rsidRDefault="006A5F0E" w:rsidP="00ED10B2">
            <w:pPr>
              <w:spacing w:after="0" w:line="240" w:lineRule="auto"/>
              <w:jc w:val="both"/>
              <w:rPr>
                <w:rFonts w:ascii="Noto Sans" w:eastAsia="Times New Roman" w:hAnsi="Noto Sans" w:cs="Noto Sans"/>
                <w:b/>
                <w:bCs/>
                <w:color w:val="000000"/>
                <w:sz w:val="14"/>
                <w:szCs w:val="14"/>
                <w:lang w:eastAsia="es-MX"/>
              </w:rPr>
            </w:pPr>
          </w:p>
        </w:tc>
      </w:tr>
    </w:tbl>
    <w:p w14:paraId="5E2FA412" w14:textId="77777777" w:rsidR="006A5F0E" w:rsidRPr="00121C87" w:rsidRDefault="006A5F0E" w:rsidP="006A5F0E">
      <w:pPr>
        <w:spacing w:after="120" w:line="250" w:lineRule="exact"/>
        <w:rPr>
          <w:rFonts w:ascii="Noto Sans" w:hAnsi="Noto Sans" w:cs="Noto Sans"/>
          <w:sz w:val="18"/>
          <w:szCs w:val="18"/>
        </w:rPr>
      </w:pPr>
    </w:p>
    <w:p w14:paraId="3B18EE7F" w14:textId="5093CD62" w:rsidR="004902A0" w:rsidRDefault="00B72B8F" w:rsidP="004902A0">
      <w:pPr>
        <w:pStyle w:val="Prrafodelista"/>
        <w:numPr>
          <w:ilvl w:val="0"/>
          <w:numId w:val="30"/>
        </w:numPr>
        <w:spacing w:after="120" w:line="250" w:lineRule="exact"/>
        <w:ind w:left="714" w:hanging="357"/>
        <w:jc w:val="both"/>
        <w:rPr>
          <w:rFonts w:ascii="Noto Sans" w:hAnsi="Noto Sans" w:cs="Noto Sans"/>
          <w:sz w:val="18"/>
          <w:szCs w:val="18"/>
        </w:rPr>
      </w:pPr>
      <w:r>
        <w:rPr>
          <w:rFonts w:ascii="Noto Sans" w:hAnsi="Noto Sans" w:cs="Noto Sans"/>
          <w:sz w:val="18"/>
          <w:szCs w:val="18"/>
        </w:rPr>
        <w:lastRenderedPageBreak/>
        <w:t>2</w:t>
      </w:r>
      <w:r w:rsidR="006A5F0E" w:rsidRPr="00121C87">
        <w:rPr>
          <w:rFonts w:ascii="Noto Sans" w:hAnsi="Noto Sans" w:cs="Noto Sans"/>
          <w:sz w:val="18"/>
          <w:szCs w:val="18"/>
        </w:rPr>
        <w:t>.8.a) En cumplimiento a las “Políticas y Directrices para la Inversión de las Reservas y Fondo Laboral”, la Comisión de Inversiones Financieras mediante el Acuerdo CIF 2-Ex19.21, autorizó invertir en moneda extranjera.</w:t>
      </w:r>
    </w:p>
    <w:p w14:paraId="004152AB" w14:textId="5E405E36" w:rsidR="005B527B" w:rsidRDefault="006D52F7" w:rsidP="005B527B">
      <w:pPr>
        <w:pStyle w:val="TEXTONORMAL"/>
        <w:numPr>
          <w:ilvl w:val="0"/>
          <w:numId w:val="6"/>
        </w:numPr>
        <w:spacing w:before="240"/>
        <w:ind w:left="357" w:hanging="357"/>
        <w:jc w:val="left"/>
        <w:rPr>
          <w:rFonts w:cs="Noto Sans"/>
          <w:b/>
          <w:sz w:val="22"/>
        </w:rPr>
      </w:pPr>
      <w:r>
        <w:rPr>
          <w:rFonts w:cs="Noto Sans"/>
          <w:b/>
          <w:sz w:val="22"/>
        </w:rPr>
        <w:t>NOTAS AL ESTADO DE SITUACIÓN FINANCIERA</w:t>
      </w:r>
    </w:p>
    <w:p w14:paraId="3A6BFBC1" w14:textId="77777777" w:rsidR="00B87C93" w:rsidRPr="00B87C93" w:rsidRDefault="00B87C93" w:rsidP="00B87C93">
      <w:pPr>
        <w:pStyle w:val="TEXTONORMAL"/>
        <w:spacing w:before="240"/>
        <w:ind w:left="357"/>
        <w:jc w:val="left"/>
        <w:rPr>
          <w:rFonts w:cs="Noto Sans"/>
          <w:b/>
          <w:sz w:val="22"/>
        </w:rPr>
      </w:pPr>
    </w:p>
    <w:p w14:paraId="22748C37" w14:textId="745FA06E" w:rsidR="005B527B" w:rsidRPr="00B87C93" w:rsidRDefault="00E70EB0" w:rsidP="008724EC">
      <w:pPr>
        <w:pStyle w:val="TEXTONORMAL"/>
        <w:numPr>
          <w:ilvl w:val="0"/>
          <w:numId w:val="9"/>
        </w:numPr>
        <w:spacing w:before="240"/>
        <w:ind w:left="0" w:firstLine="0"/>
        <w:rPr>
          <w:b/>
          <w:sz w:val="22"/>
        </w:rPr>
      </w:pPr>
      <w:r w:rsidRPr="00B87C93">
        <w:rPr>
          <w:b/>
          <w:sz w:val="22"/>
        </w:rPr>
        <w:t>ACTIVO</w:t>
      </w:r>
    </w:p>
    <w:p w14:paraId="70FC884F" w14:textId="77777777" w:rsidR="00E70EB0" w:rsidRDefault="00E70EB0" w:rsidP="00B1582B">
      <w:pPr>
        <w:pStyle w:val="SUBTITULO2"/>
        <w:rPr>
          <w:rFonts w:ascii="Noto Sans" w:hAnsi="Noto Sans" w:cs="Noto Sans"/>
        </w:rPr>
      </w:pPr>
      <w:r w:rsidRPr="00E70EB0">
        <w:rPr>
          <w:rFonts w:ascii="Noto Sans" w:hAnsi="Noto Sans" w:cs="Noto Sans"/>
        </w:rPr>
        <w:t>activo circulante</w:t>
      </w:r>
    </w:p>
    <w:p w14:paraId="230641D3" w14:textId="77777777" w:rsidR="00697923" w:rsidRPr="00697923" w:rsidRDefault="00697923" w:rsidP="00697923">
      <w:pPr>
        <w:pStyle w:val="TEXTONORMAL"/>
      </w:pPr>
    </w:p>
    <w:p w14:paraId="421810B2" w14:textId="65A7101C" w:rsidR="00E70EB0" w:rsidRDefault="00697923" w:rsidP="00ED1D2E">
      <w:pPr>
        <w:pStyle w:val="TEXTONORMAL"/>
        <w:numPr>
          <w:ilvl w:val="0"/>
          <w:numId w:val="8"/>
        </w:numPr>
        <w:ind w:left="357" w:hanging="357"/>
      </w:pPr>
      <w:r>
        <w:t>3</w:t>
      </w:r>
      <w:r w:rsidR="00E70EB0" w:rsidRPr="00E70EB0">
        <w:t xml:space="preserve">.1 Efectivo y </w:t>
      </w:r>
      <w:r w:rsidR="00190892">
        <w:t>E</w:t>
      </w:r>
      <w:r w:rsidR="00E70EB0" w:rsidRPr="00E70EB0">
        <w:t xml:space="preserve">quivalentes </w:t>
      </w:r>
    </w:p>
    <w:p w14:paraId="30455CB9" w14:textId="4D1A3359" w:rsidR="00E70EB0" w:rsidRDefault="00E70EB0" w:rsidP="00274555">
      <w:pPr>
        <w:pStyle w:val="TEXTONORMAL"/>
        <w:ind w:left="357"/>
      </w:pPr>
      <w:r w:rsidRPr="00BE115F">
        <w:t>Al</w:t>
      </w:r>
      <w:r w:rsidR="00236E14">
        <w:t xml:space="preserve"> </w:t>
      </w:r>
      <w:r w:rsidR="00E903BA" w:rsidRPr="002B3F78">
        <w:rPr>
          <w:rFonts w:cs="Noto Sans"/>
          <w:szCs w:val="18"/>
        </w:rPr>
        <w:t>3</w:t>
      </w:r>
      <w:r w:rsidR="00E903BA">
        <w:rPr>
          <w:rFonts w:cs="Noto Sans"/>
          <w:szCs w:val="18"/>
        </w:rPr>
        <w:t>0</w:t>
      </w:r>
      <w:r w:rsidR="00E903BA" w:rsidRPr="002B3F78">
        <w:rPr>
          <w:rFonts w:cs="Noto Sans"/>
          <w:szCs w:val="18"/>
        </w:rPr>
        <w:t xml:space="preserve"> de </w:t>
      </w:r>
      <w:r w:rsidR="00E903BA">
        <w:rPr>
          <w:rFonts w:cs="Noto Sans"/>
          <w:szCs w:val="18"/>
        </w:rPr>
        <w:t>junio</w:t>
      </w:r>
      <w:r w:rsidR="00E903BA" w:rsidRPr="002B3F78">
        <w:rPr>
          <w:rFonts w:cs="Noto Sans"/>
          <w:szCs w:val="18"/>
        </w:rPr>
        <w:t xml:space="preserve"> </w:t>
      </w:r>
      <w:r w:rsidR="00236E14" w:rsidRPr="00236E14">
        <w:t>de 2025</w:t>
      </w:r>
      <w:r w:rsidR="00236E14">
        <w:t xml:space="preserve"> y </w:t>
      </w:r>
      <w:r w:rsidRPr="00BE115F">
        <w:t>31 de diciembre de 20</w:t>
      </w:r>
      <w:r>
        <w:t>24</w:t>
      </w:r>
      <w:r w:rsidRPr="00BE115F">
        <w:t>, el rubro de Efectivo y Equivalentes se integra de la siguiente manera:</w:t>
      </w:r>
    </w:p>
    <w:p w14:paraId="7002F9CC" w14:textId="77777777" w:rsidR="003D670F" w:rsidRDefault="003D670F" w:rsidP="00E70EB0">
      <w:pPr>
        <w:pStyle w:val="TEXTONORMAL"/>
        <w:ind w:left="357"/>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D670F" w:rsidRPr="005946C5" w14:paraId="3D83A8A4" w14:textId="77777777" w:rsidTr="00156FD5">
        <w:trPr>
          <w:trHeight w:val="20"/>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D360A16" w14:textId="77777777" w:rsidR="00C83604" w:rsidRPr="008E629A" w:rsidRDefault="00C83604" w:rsidP="003C46BC">
            <w:pPr>
              <w:spacing w:after="0" w:line="240" w:lineRule="exact"/>
              <w:jc w:val="center"/>
              <w:rPr>
                <w:rFonts w:ascii="Noto Sans" w:eastAsia="Times New Roman" w:hAnsi="Noto Sans" w:cs="Noto Sans"/>
                <w:b/>
                <w:bCs/>
                <w:color w:val="FFFFFF"/>
                <w:sz w:val="16"/>
                <w:szCs w:val="16"/>
                <w:lang w:eastAsia="es-MX"/>
              </w:rPr>
            </w:pPr>
            <w:bookmarkStart w:id="2" w:name="_Hlk125107707"/>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D2DB4F3" w14:textId="77777777" w:rsidR="00C83604" w:rsidRPr="008E629A" w:rsidRDefault="00C83604" w:rsidP="003C46BC">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83604" w:rsidRPr="005946C5" w14:paraId="629A84C5" w14:textId="77777777" w:rsidTr="00156FD5">
        <w:trPr>
          <w:trHeight w:val="20"/>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EE977A9" w14:textId="77777777" w:rsidR="00C83604" w:rsidRPr="008E629A" w:rsidRDefault="00C83604" w:rsidP="003C46BC">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DA097A9" w14:textId="5C60842F" w:rsidR="00C83604" w:rsidRPr="008E629A" w:rsidRDefault="00C83604" w:rsidP="00236E14">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236E14">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74E7259A" w14:textId="5285CAB6" w:rsidR="00C83604" w:rsidRPr="008E629A" w:rsidRDefault="00236E14" w:rsidP="003C46B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E3A5F" w:rsidRPr="005946C5" w14:paraId="7941B847"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hideMark/>
          </w:tcPr>
          <w:p w14:paraId="5CE47546" w14:textId="5F7561C6" w:rsidR="002E3A5F" w:rsidRPr="00697923" w:rsidRDefault="002E3A5F" w:rsidP="002E3A5F">
            <w:pPr>
              <w:spacing w:after="0" w:line="240" w:lineRule="auto"/>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Inversiones Temporales </w:t>
            </w:r>
            <w:r>
              <w:rPr>
                <w:rFonts w:ascii="Noto Sans" w:hAnsi="Noto Sans" w:cs="Noto Sans"/>
                <w:b/>
                <w:bCs/>
                <w:color w:val="000000"/>
                <w:sz w:val="15"/>
                <w:szCs w:val="15"/>
              </w:rPr>
              <w:t>(3.1.a)</w:t>
            </w:r>
          </w:p>
        </w:tc>
        <w:tc>
          <w:tcPr>
            <w:tcW w:w="1960" w:type="dxa"/>
            <w:tcBorders>
              <w:top w:val="triple" w:sz="12" w:space="0" w:color="A6802D"/>
              <w:left w:val="nil"/>
              <w:bottom w:val="nil"/>
              <w:right w:val="nil"/>
            </w:tcBorders>
            <w:shd w:val="clear" w:color="000000" w:fill="F2F2F2"/>
            <w:vAlign w:val="center"/>
          </w:tcPr>
          <w:p w14:paraId="4373D3FF" w14:textId="47B0083E"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139,093,236,676.8</w:t>
            </w:r>
          </w:p>
        </w:tc>
        <w:tc>
          <w:tcPr>
            <w:tcW w:w="1961" w:type="dxa"/>
            <w:tcBorders>
              <w:top w:val="triple" w:sz="12" w:space="0" w:color="A6802D"/>
              <w:left w:val="nil"/>
              <w:bottom w:val="nil"/>
              <w:right w:val="nil"/>
            </w:tcBorders>
            <w:shd w:val="clear" w:color="000000" w:fill="F2F2F2"/>
            <w:vAlign w:val="center"/>
          </w:tcPr>
          <w:p w14:paraId="4D98C81C" w14:textId="723D41B9"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83,641,777,653.8</w:t>
            </w:r>
          </w:p>
        </w:tc>
      </w:tr>
      <w:tr w:rsidR="002E3A5F" w:rsidRPr="00FC0913" w14:paraId="405BD838" w14:textId="77777777" w:rsidTr="000B0DE6">
        <w:trPr>
          <w:trHeight w:val="283"/>
          <w:jc w:val="center"/>
        </w:trPr>
        <w:tc>
          <w:tcPr>
            <w:tcW w:w="5475" w:type="dxa"/>
            <w:tcBorders>
              <w:top w:val="nil"/>
              <w:left w:val="nil"/>
              <w:bottom w:val="nil"/>
              <w:right w:val="nil"/>
            </w:tcBorders>
            <w:shd w:val="clear" w:color="000000" w:fill="F2F2F2"/>
            <w:vAlign w:val="center"/>
            <w:hideMark/>
          </w:tcPr>
          <w:p w14:paraId="69478163" w14:textId="1AB54AD2" w:rsidR="002E3A5F" w:rsidRPr="00697923" w:rsidRDefault="002E3A5F" w:rsidP="002E3A5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Depósitos de Fondos de Terceros en Garantía y/o Administración </w:t>
            </w:r>
            <w:r>
              <w:rPr>
                <w:rFonts w:ascii="Noto Sans" w:hAnsi="Noto Sans" w:cs="Noto Sans"/>
                <w:b/>
                <w:bCs/>
                <w:color w:val="000000"/>
                <w:sz w:val="15"/>
                <w:szCs w:val="15"/>
              </w:rPr>
              <w:t>(3.1.</w:t>
            </w:r>
            <w:r w:rsidR="00356FB1">
              <w:rPr>
                <w:rFonts w:ascii="Noto Sans" w:hAnsi="Noto Sans" w:cs="Noto Sans"/>
                <w:b/>
                <w:bCs/>
                <w:color w:val="000000"/>
                <w:sz w:val="15"/>
                <w:szCs w:val="15"/>
              </w:rPr>
              <w:t>b</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773BAE12" w14:textId="61481357"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54,166,722,979.1</w:t>
            </w:r>
          </w:p>
        </w:tc>
        <w:tc>
          <w:tcPr>
            <w:tcW w:w="1961" w:type="dxa"/>
            <w:tcBorders>
              <w:top w:val="nil"/>
              <w:left w:val="nil"/>
              <w:bottom w:val="nil"/>
              <w:right w:val="nil"/>
            </w:tcBorders>
            <w:shd w:val="clear" w:color="000000" w:fill="F2F2F2"/>
            <w:vAlign w:val="center"/>
          </w:tcPr>
          <w:p w14:paraId="4791D316" w14:textId="0F766D5B"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364,639,915.3</w:t>
            </w:r>
          </w:p>
        </w:tc>
      </w:tr>
      <w:tr w:rsidR="002E3A5F" w:rsidRPr="00FC0913" w14:paraId="07501BAF" w14:textId="77777777" w:rsidTr="000B0DE6">
        <w:trPr>
          <w:trHeight w:val="283"/>
          <w:jc w:val="center"/>
        </w:trPr>
        <w:tc>
          <w:tcPr>
            <w:tcW w:w="5475" w:type="dxa"/>
            <w:tcBorders>
              <w:top w:val="nil"/>
              <w:left w:val="nil"/>
              <w:bottom w:val="nil"/>
              <w:right w:val="nil"/>
            </w:tcBorders>
            <w:shd w:val="clear" w:color="000000" w:fill="F2F2F2"/>
            <w:vAlign w:val="center"/>
            <w:hideMark/>
          </w:tcPr>
          <w:p w14:paraId="1E82C565" w14:textId="12BE4545" w:rsidR="002E3A5F" w:rsidRPr="00697923" w:rsidRDefault="002E3A5F" w:rsidP="002E3A5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Bancos / Tesorería </w:t>
            </w:r>
            <w:r>
              <w:rPr>
                <w:rFonts w:ascii="Noto Sans" w:hAnsi="Noto Sans" w:cs="Noto Sans"/>
                <w:b/>
                <w:bCs/>
                <w:color w:val="000000"/>
                <w:sz w:val="15"/>
                <w:szCs w:val="15"/>
              </w:rPr>
              <w:t>(3.1.</w:t>
            </w:r>
            <w:r w:rsidR="00356FB1">
              <w:rPr>
                <w:rFonts w:ascii="Noto Sans" w:hAnsi="Noto Sans" w:cs="Noto Sans"/>
                <w:b/>
                <w:bCs/>
                <w:color w:val="000000"/>
                <w:sz w:val="15"/>
                <w:szCs w:val="15"/>
              </w:rPr>
              <w:t>c</w:t>
            </w:r>
            <w:r>
              <w:rPr>
                <w:rFonts w:ascii="Noto Sans" w:hAnsi="Noto Sans" w:cs="Noto Sans"/>
                <w:b/>
                <w:bCs/>
                <w:color w:val="000000"/>
                <w:sz w:val="15"/>
                <w:szCs w:val="15"/>
              </w:rPr>
              <w:t>)</w:t>
            </w:r>
          </w:p>
        </w:tc>
        <w:tc>
          <w:tcPr>
            <w:tcW w:w="1960" w:type="dxa"/>
            <w:tcBorders>
              <w:top w:val="nil"/>
              <w:left w:val="nil"/>
              <w:bottom w:val="nil"/>
              <w:right w:val="nil"/>
            </w:tcBorders>
            <w:shd w:val="clear" w:color="000000" w:fill="F2F2F2"/>
            <w:vAlign w:val="center"/>
          </w:tcPr>
          <w:p w14:paraId="19DB807F" w14:textId="1A2278A2"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1,362,305,141.2</w:t>
            </w:r>
          </w:p>
        </w:tc>
        <w:tc>
          <w:tcPr>
            <w:tcW w:w="1961" w:type="dxa"/>
            <w:tcBorders>
              <w:top w:val="nil"/>
              <w:left w:val="nil"/>
              <w:bottom w:val="nil"/>
              <w:right w:val="nil"/>
            </w:tcBorders>
            <w:shd w:val="clear" w:color="000000" w:fill="F2F2F2"/>
            <w:vAlign w:val="center"/>
          </w:tcPr>
          <w:p w14:paraId="14DD4295" w14:textId="7796AC4B"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1,092,201,028.4</w:t>
            </w:r>
          </w:p>
        </w:tc>
      </w:tr>
      <w:tr w:rsidR="002E3A5F" w:rsidRPr="005946C5" w14:paraId="54CFBFA6" w14:textId="77777777" w:rsidTr="000B0DE6">
        <w:trPr>
          <w:trHeight w:val="283"/>
          <w:jc w:val="center"/>
        </w:trPr>
        <w:tc>
          <w:tcPr>
            <w:tcW w:w="5475" w:type="dxa"/>
            <w:tcBorders>
              <w:top w:val="nil"/>
              <w:left w:val="nil"/>
              <w:right w:val="nil"/>
            </w:tcBorders>
            <w:shd w:val="clear" w:color="000000" w:fill="F2F2F2"/>
            <w:vAlign w:val="center"/>
            <w:hideMark/>
          </w:tcPr>
          <w:p w14:paraId="2742BBFA" w14:textId="7F7782CC" w:rsidR="002E3A5F" w:rsidRPr="00697923" w:rsidRDefault="002E3A5F" w:rsidP="002E3A5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Efectivo</w:t>
            </w:r>
          </w:p>
        </w:tc>
        <w:tc>
          <w:tcPr>
            <w:tcW w:w="1960" w:type="dxa"/>
            <w:tcBorders>
              <w:top w:val="nil"/>
              <w:left w:val="nil"/>
              <w:right w:val="nil"/>
            </w:tcBorders>
            <w:shd w:val="clear" w:color="000000" w:fill="F2F2F2"/>
            <w:vAlign w:val="center"/>
          </w:tcPr>
          <w:p w14:paraId="46323086" w14:textId="3FFA844A"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39,578,003.0</w:t>
            </w:r>
          </w:p>
        </w:tc>
        <w:tc>
          <w:tcPr>
            <w:tcW w:w="1961" w:type="dxa"/>
            <w:tcBorders>
              <w:top w:val="nil"/>
              <w:left w:val="nil"/>
              <w:right w:val="nil"/>
            </w:tcBorders>
            <w:shd w:val="clear" w:color="000000" w:fill="F2F2F2"/>
            <w:vAlign w:val="center"/>
          </w:tcPr>
          <w:p w14:paraId="0E7C6232" w14:textId="2AE58749" w:rsidR="002E3A5F" w:rsidRPr="00697923" w:rsidRDefault="002E3A5F" w:rsidP="002E3A5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38,763,469.5</w:t>
            </w:r>
          </w:p>
        </w:tc>
      </w:tr>
      <w:tr w:rsidR="002E3A5F" w:rsidRPr="005946C5" w14:paraId="7AE1F08C"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hideMark/>
          </w:tcPr>
          <w:p w14:paraId="40F838F1" w14:textId="5671DE08" w:rsidR="002E3A5F" w:rsidRPr="00697923" w:rsidRDefault="002E3A5F" w:rsidP="002E3A5F">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Efectivo y Equivalentes</w:t>
            </w:r>
          </w:p>
        </w:tc>
        <w:tc>
          <w:tcPr>
            <w:tcW w:w="1960" w:type="dxa"/>
            <w:tcBorders>
              <w:top w:val="nil"/>
              <w:left w:val="nil"/>
              <w:bottom w:val="single" w:sz="12" w:space="0" w:color="A6802D"/>
              <w:right w:val="nil"/>
            </w:tcBorders>
            <w:shd w:val="clear" w:color="000000" w:fill="F2F2F2"/>
            <w:vAlign w:val="center"/>
          </w:tcPr>
          <w:p w14:paraId="0DAD5623" w14:textId="1ACB935C" w:rsidR="002E3A5F" w:rsidRPr="00697923" w:rsidRDefault="002E3A5F" w:rsidP="002E3A5F">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194,661,842,800.1</w:t>
            </w:r>
          </w:p>
        </w:tc>
        <w:tc>
          <w:tcPr>
            <w:tcW w:w="1961" w:type="dxa"/>
            <w:tcBorders>
              <w:top w:val="nil"/>
              <w:left w:val="nil"/>
              <w:bottom w:val="single" w:sz="12" w:space="0" w:color="A6802D"/>
              <w:right w:val="nil"/>
            </w:tcBorders>
            <w:shd w:val="clear" w:color="000000" w:fill="F2F2F2"/>
            <w:vAlign w:val="center"/>
          </w:tcPr>
          <w:p w14:paraId="4DCE355C" w14:textId="64A21F94" w:rsidR="002E3A5F" w:rsidRPr="00697923" w:rsidRDefault="002E3A5F" w:rsidP="002E3A5F">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85,137,382,067.0</w:t>
            </w:r>
          </w:p>
        </w:tc>
      </w:tr>
      <w:tr w:rsidR="003D670F" w:rsidRPr="00274555" w14:paraId="630D6AB1" w14:textId="77777777" w:rsidTr="00274555">
        <w:trPr>
          <w:trHeight w:val="226"/>
          <w:jc w:val="center"/>
        </w:trPr>
        <w:tc>
          <w:tcPr>
            <w:tcW w:w="5475" w:type="dxa"/>
            <w:tcBorders>
              <w:top w:val="single" w:sz="12" w:space="0" w:color="A6802D"/>
              <w:left w:val="nil"/>
              <w:right w:val="nil"/>
            </w:tcBorders>
            <w:vAlign w:val="center"/>
          </w:tcPr>
          <w:p w14:paraId="48D61ACD" w14:textId="77777777" w:rsidR="003D670F" w:rsidRPr="00274555" w:rsidRDefault="003D670F" w:rsidP="0027455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58CF12B2" w14:textId="77777777" w:rsidR="003D670F" w:rsidRPr="00274555" w:rsidRDefault="003D670F" w:rsidP="0027455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1B0D29E8" w14:textId="77777777" w:rsidR="003D670F" w:rsidRPr="00274555" w:rsidRDefault="003D670F" w:rsidP="00274555">
            <w:pPr>
              <w:spacing w:after="0" w:line="240" w:lineRule="auto"/>
              <w:jc w:val="both"/>
              <w:rPr>
                <w:rFonts w:ascii="Noto Sans" w:eastAsia="Times New Roman" w:hAnsi="Noto Sans" w:cs="Noto Sans"/>
                <w:b/>
                <w:bCs/>
                <w:color w:val="000000"/>
                <w:sz w:val="14"/>
                <w:szCs w:val="14"/>
                <w:lang w:eastAsia="es-MX"/>
              </w:rPr>
            </w:pPr>
          </w:p>
        </w:tc>
      </w:tr>
      <w:bookmarkEnd w:id="2"/>
    </w:tbl>
    <w:p w14:paraId="14C2F819" w14:textId="77777777" w:rsidR="00700BAB" w:rsidRDefault="00700BAB" w:rsidP="00274555">
      <w:pPr>
        <w:pStyle w:val="TEXTONORMAL"/>
        <w:tabs>
          <w:tab w:val="left" w:pos="11153"/>
        </w:tabs>
        <w:ind w:left="720"/>
        <w:jc w:val="left"/>
      </w:pPr>
    </w:p>
    <w:p w14:paraId="16B48ADC" w14:textId="76A4F84A" w:rsidR="00E70EB0" w:rsidRDefault="00697923" w:rsidP="00ED1D2E">
      <w:pPr>
        <w:pStyle w:val="TEXTONORMAL"/>
        <w:numPr>
          <w:ilvl w:val="0"/>
          <w:numId w:val="7"/>
        </w:numPr>
        <w:ind w:left="714" w:hanging="357"/>
      </w:pPr>
      <w:r>
        <w:t>3</w:t>
      </w:r>
      <w:r w:rsidR="00274555" w:rsidRPr="00274555">
        <w:t>.1.a</w:t>
      </w:r>
      <w:r w:rsidR="00274555">
        <w:t xml:space="preserve">) </w:t>
      </w:r>
      <w:r w:rsidR="00274555" w:rsidRPr="00274555">
        <w:t xml:space="preserve">Ver integración nota </w:t>
      </w:r>
      <w:r>
        <w:t>3</w:t>
      </w:r>
      <w:r w:rsidR="00274555" w:rsidRPr="00274555">
        <w:t>.7.a</w:t>
      </w:r>
    </w:p>
    <w:p w14:paraId="4990CBDA" w14:textId="77777777" w:rsidR="004C662A" w:rsidRDefault="004C662A" w:rsidP="004C662A">
      <w:pPr>
        <w:pStyle w:val="TEXTONORMAL"/>
        <w:ind w:left="714"/>
      </w:pPr>
    </w:p>
    <w:p w14:paraId="52DC701F" w14:textId="2928E107" w:rsidR="004C662A" w:rsidRPr="004C662A" w:rsidRDefault="004C662A" w:rsidP="004C662A">
      <w:pPr>
        <w:pStyle w:val="Prrafodelista"/>
        <w:numPr>
          <w:ilvl w:val="0"/>
          <w:numId w:val="7"/>
        </w:numPr>
        <w:rPr>
          <w:rFonts w:ascii="Noto Sans" w:hAnsi="Noto Sans"/>
          <w:sz w:val="18"/>
        </w:rPr>
      </w:pPr>
      <w:r w:rsidRPr="004C662A">
        <w:rPr>
          <w:rFonts w:ascii="Noto Sans" w:hAnsi="Noto Sans"/>
          <w:sz w:val="18"/>
        </w:rPr>
        <w:t>3.1.</w:t>
      </w:r>
      <w:r>
        <w:rPr>
          <w:rFonts w:ascii="Noto Sans" w:hAnsi="Noto Sans"/>
          <w:sz w:val="18"/>
        </w:rPr>
        <w:t>b</w:t>
      </w:r>
      <w:r w:rsidRPr="004C662A">
        <w:rPr>
          <w:rFonts w:ascii="Noto Sans" w:hAnsi="Noto Sans"/>
          <w:sz w:val="18"/>
        </w:rPr>
        <w:t>) El rubro de Depósitos de Fondos de Terceros en Garantía y/o Administración corresponde al saldo de las aportaciones del Gobierno Federal para las pensiones en curso de pago, de conformidad con el artículo duodécimo transitorio de la Ley del Seguro Social (LSS) vigente a partir del 01 de julio de 1997, el Instituto administra dichas pensiones con base en el “Convenio de Coordinación para la Determinación de las Comisiones y Costos Operativos por la Administración y Pago de las Pensiones y Prestaciones a Cargo del Gobierno Federal” suscrito por el Instituto y la Secretaría de Hacienda y Crédito Público (SHCP).</w:t>
      </w:r>
    </w:p>
    <w:p w14:paraId="273FE11B" w14:textId="77777777" w:rsidR="002E0B2F" w:rsidRDefault="002E0B2F" w:rsidP="00871474">
      <w:pPr>
        <w:pStyle w:val="TEXTONORMAL"/>
        <w:spacing w:after="0"/>
        <w:ind w:left="714"/>
      </w:pPr>
    </w:p>
    <w:p w14:paraId="58AB91B6" w14:textId="49C801C9" w:rsidR="00274555" w:rsidRDefault="00697923" w:rsidP="00ED1D2E">
      <w:pPr>
        <w:pStyle w:val="TEXTONORMAL"/>
        <w:numPr>
          <w:ilvl w:val="0"/>
          <w:numId w:val="7"/>
        </w:numPr>
      </w:pPr>
      <w:r>
        <w:lastRenderedPageBreak/>
        <w:t>3</w:t>
      </w:r>
      <w:r w:rsidR="00274555">
        <w:t>.1.</w:t>
      </w:r>
      <w:r w:rsidR="004C662A">
        <w:t>c</w:t>
      </w:r>
      <w:r w:rsidR="00274555">
        <w:t xml:space="preserve">) </w:t>
      </w:r>
      <w:r w:rsidR="00274555" w:rsidRPr="00274555">
        <w:t xml:space="preserve">Dentro del rubro de Bancos / Tesorería </w:t>
      </w:r>
      <w:r w:rsidR="00BC1F5E">
        <w:t>a</w:t>
      </w:r>
      <w:r w:rsidR="00BC1F5E" w:rsidRPr="00BE115F">
        <w:t>l</w:t>
      </w:r>
      <w:r w:rsidR="00BC1F5E">
        <w:t xml:space="preserve"> </w:t>
      </w:r>
      <w:r w:rsidR="00BC1F5E" w:rsidRPr="00236E14">
        <w:t>3</w:t>
      </w:r>
      <w:r w:rsidR="006E2089">
        <w:t>0</w:t>
      </w:r>
      <w:r w:rsidR="00BC1F5E" w:rsidRPr="00236E14">
        <w:t xml:space="preserve"> de </w:t>
      </w:r>
      <w:r w:rsidR="006E2089">
        <w:t>junio</w:t>
      </w:r>
      <w:r w:rsidR="00BC1F5E" w:rsidRPr="00236E14">
        <w:t xml:space="preserve"> de 2025</w:t>
      </w:r>
      <w:r w:rsidR="00BC1F5E">
        <w:t xml:space="preserve"> y </w:t>
      </w:r>
      <w:r w:rsidR="00BC1F5E" w:rsidRPr="00BE115F">
        <w:t>31 de diciembre de 20</w:t>
      </w:r>
      <w:r w:rsidR="00BC1F5E">
        <w:t>24</w:t>
      </w:r>
      <w:r w:rsidR="00274555" w:rsidRPr="00274555">
        <w:t>, se tienen importes embargados y retenidos en</w:t>
      </w:r>
      <w:r w:rsidR="00025669">
        <w:t xml:space="preserve"> </w:t>
      </w:r>
      <w:r w:rsidR="006E2089">
        <w:t>74</w:t>
      </w:r>
      <w:r w:rsidR="00274555" w:rsidRPr="00274555">
        <w:t xml:space="preserve"> cuentas bancarias por </w:t>
      </w:r>
      <w:r w:rsidR="006A5914">
        <w:t>350,</w:t>
      </w:r>
      <w:r w:rsidR="006E2089">
        <w:t>537</w:t>
      </w:r>
      <w:r w:rsidR="006A5914">
        <w:t>,</w:t>
      </w:r>
      <w:r w:rsidR="006E2089">
        <w:t>325</w:t>
      </w:r>
      <w:r w:rsidR="006A5914">
        <w:t>.</w:t>
      </w:r>
      <w:r w:rsidR="006E2089">
        <w:t>2</w:t>
      </w:r>
      <w:r w:rsidR="00274555" w:rsidRPr="00274555">
        <w:t xml:space="preserve"> pesos y en </w:t>
      </w:r>
      <w:r w:rsidR="006A5914" w:rsidRPr="00274555">
        <w:t xml:space="preserve">66 cuentas bancarias por 309,416,579.9 </w:t>
      </w:r>
      <w:r w:rsidR="00274555" w:rsidRPr="00274555">
        <w:t xml:space="preserve">pesos, respectivamente, derivado de los autos de ejecución emitidos por las autoridades jurisdiccionales competentes.  </w:t>
      </w:r>
    </w:p>
    <w:p w14:paraId="4901E934" w14:textId="77777777" w:rsidR="002E0B2F" w:rsidRDefault="002E0B2F" w:rsidP="00871474">
      <w:pPr>
        <w:pStyle w:val="TEXTONORMAL"/>
        <w:spacing w:after="0"/>
      </w:pPr>
    </w:p>
    <w:p w14:paraId="70A6C0D3" w14:textId="77777777" w:rsidR="003C46BC" w:rsidRPr="003C46BC" w:rsidRDefault="00163D67" w:rsidP="00ED1D2E">
      <w:pPr>
        <w:numPr>
          <w:ilvl w:val="0"/>
          <w:numId w:val="10"/>
        </w:numPr>
        <w:spacing w:line="240" w:lineRule="exact"/>
        <w:ind w:left="357" w:hanging="357"/>
        <w:rPr>
          <w:rFonts w:ascii="Noto Sans" w:hAnsi="Noto Sans"/>
          <w:sz w:val="18"/>
        </w:rPr>
      </w:pPr>
      <w:r>
        <w:t>3</w:t>
      </w:r>
      <w:r w:rsidR="003C46BC" w:rsidRPr="00E70EB0">
        <w:t>.</w:t>
      </w:r>
      <w:r w:rsidR="003C46BC">
        <w:t>2</w:t>
      </w:r>
      <w:r w:rsidR="003C46BC" w:rsidRPr="00E70EB0">
        <w:t xml:space="preserve"> </w:t>
      </w:r>
      <w:r w:rsidR="003C46BC" w:rsidRPr="003C46BC">
        <w:rPr>
          <w:rFonts w:ascii="Noto Sans" w:hAnsi="Noto Sans"/>
          <w:sz w:val="18"/>
        </w:rPr>
        <w:t>Derechos a Recibir Efectivo o Equivalentes</w:t>
      </w:r>
    </w:p>
    <w:p w14:paraId="48405FD4" w14:textId="7DC2C77B" w:rsidR="003C46BC" w:rsidRDefault="00D725C8" w:rsidP="00163D67">
      <w:pPr>
        <w:pStyle w:val="TEXTONORMAL"/>
        <w:ind w:left="357"/>
      </w:pPr>
      <w:r w:rsidRPr="00BE115F">
        <w:t>Al</w:t>
      </w:r>
      <w:r>
        <w:t xml:space="preserve"> </w:t>
      </w:r>
      <w:r w:rsidR="00EE0FF9" w:rsidRPr="002B3F78">
        <w:rPr>
          <w:rFonts w:cs="Noto Sans"/>
          <w:szCs w:val="18"/>
        </w:rPr>
        <w:t>3</w:t>
      </w:r>
      <w:r w:rsidR="00EE0FF9">
        <w:rPr>
          <w:rFonts w:cs="Noto Sans"/>
          <w:szCs w:val="18"/>
        </w:rPr>
        <w:t>0</w:t>
      </w:r>
      <w:r w:rsidR="00EE0FF9" w:rsidRPr="002B3F78">
        <w:rPr>
          <w:rFonts w:cs="Noto Sans"/>
          <w:szCs w:val="18"/>
        </w:rPr>
        <w:t xml:space="preserve"> de </w:t>
      </w:r>
      <w:r w:rsidR="00EE0FF9">
        <w:rPr>
          <w:rFonts w:cs="Noto Sans"/>
          <w:szCs w:val="18"/>
        </w:rPr>
        <w:t>junio</w:t>
      </w:r>
      <w:r w:rsidR="00EE0FF9" w:rsidRPr="002B3F78">
        <w:rPr>
          <w:rFonts w:cs="Noto Sans"/>
          <w:szCs w:val="18"/>
        </w:rPr>
        <w:t xml:space="preserve"> </w:t>
      </w:r>
      <w:r w:rsidRPr="00236E14">
        <w:t>de 2025</w:t>
      </w:r>
      <w:r>
        <w:t xml:space="preserve"> y </w:t>
      </w:r>
      <w:r w:rsidRPr="00BE115F">
        <w:t>31 de diciembre de 20</w:t>
      </w:r>
      <w:r>
        <w:t>24</w:t>
      </w:r>
      <w:r w:rsidR="003C46BC" w:rsidRPr="00BE115F">
        <w:t xml:space="preserve">, el rubro de </w:t>
      </w:r>
      <w:r w:rsidR="003C46BC" w:rsidRPr="003C46BC">
        <w:t>Derechos a Recibir Efectivo o Equivalentes</w:t>
      </w:r>
      <w:r w:rsidR="003C46BC" w:rsidRPr="00BE115F">
        <w:t xml:space="preserve"> se integra de la siguiente manera:</w:t>
      </w:r>
    </w:p>
    <w:p w14:paraId="68A9278C" w14:textId="77777777" w:rsidR="006459B0" w:rsidRDefault="006459B0" w:rsidP="00163D67">
      <w:pPr>
        <w:pStyle w:val="TEXTONORMAL"/>
        <w:ind w:left="357"/>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6BC" w:rsidRPr="005946C5" w14:paraId="2A16CC4A"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C5F1667" w14:textId="77777777" w:rsidR="003C46BC" w:rsidRPr="008E629A" w:rsidRDefault="003C46BC"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6EB4084" w14:textId="77777777" w:rsidR="003C46BC" w:rsidRPr="008E629A" w:rsidRDefault="003C46BC"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C46BC" w:rsidRPr="005946C5" w14:paraId="6A69DF86"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7A7FF89" w14:textId="77777777" w:rsidR="003C46BC" w:rsidRPr="008E629A" w:rsidRDefault="003C46BC"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302FDA5" w14:textId="65B19ECE" w:rsidR="003C46BC" w:rsidRPr="008E629A" w:rsidRDefault="00D725C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4C9525E" w14:textId="5D429709" w:rsidR="003C46BC" w:rsidRPr="008E629A" w:rsidRDefault="00D725C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AB5438" w:rsidRPr="00FC0913" w14:paraId="79652CEE" w14:textId="77777777" w:rsidTr="00AB5438">
        <w:trPr>
          <w:trHeight w:val="251"/>
          <w:jc w:val="center"/>
        </w:trPr>
        <w:tc>
          <w:tcPr>
            <w:tcW w:w="5475" w:type="dxa"/>
            <w:tcBorders>
              <w:top w:val="nil"/>
              <w:left w:val="nil"/>
              <w:bottom w:val="nil"/>
              <w:right w:val="nil"/>
            </w:tcBorders>
            <w:shd w:val="clear" w:color="000000" w:fill="F2F2F2"/>
            <w:vAlign w:val="center"/>
          </w:tcPr>
          <w:p w14:paraId="7AB10FC9" w14:textId="11033921" w:rsidR="00AB5438" w:rsidRPr="00163D67" w:rsidRDefault="00AB5438" w:rsidP="00AB5438">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Ingresos por Recuperar por Cuotas Obrero-Patronales </w:t>
            </w:r>
            <w:r>
              <w:rPr>
                <w:rFonts w:ascii="Noto Sans" w:hAnsi="Noto Sans" w:cs="Noto Sans"/>
                <w:b/>
                <w:bCs/>
                <w:color w:val="000000"/>
                <w:sz w:val="15"/>
                <w:szCs w:val="15"/>
              </w:rPr>
              <w:t>(3.2.a)</w:t>
            </w:r>
          </w:p>
        </w:tc>
        <w:tc>
          <w:tcPr>
            <w:tcW w:w="1960" w:type="dxa"/>
            <w:tcBorders>
              <w:top w:val="nil"/>
              <w:left w:val="nil"/>
              <w:bottom w:val="nil"/>
              <w:right w:val="nil"/>
            </w:tcBorders>
            <w:shd w:val="clear" w:color="000000" w:fill="F2F2F2"/>
            <w:vAlign w:val="center"/>
          </w:tcPr>
          <w:p w14:paraId="75B798BD" w14:textId="4B774ECA"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110,014,883,164.0 </w:t>
            </w:r>
          </w:p>
        </w:tc>
        <w:tc>
          <w:tcPr>
            <w:tcW w:w="1961" w:type="dxa"/>
            <w:tcBorders>
              <w:top w:val="nil"/>
              <w:left w:val="nil"/>
              <w:bottom w:val="nil"/>
              <w:right w:val="nil"/>
            </w:tcBorders>
            <w:shd w:val="clear" w:color="000000" w:fill="F2F2F2"/>
            <w:vAlign w:val="center"/>
          </w:tcPr>
          <w:p w14:paraId="1F6B7B48" w14:textId="2CA1C720"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106,710,944,017.3 </w:t>
            </w:r>
          </w:p>
        </w:tc>
      </w:tr>
      <w:tr w:rsidR="00AB5438" w:rsidRPr="00FC0913" w14:paraId="7D331E36" w14:textId="77777777" w:rsidTr="00F30305">
        <w:trPr>
          <w:trHeight w:val="283"/>
          <w:jc w:val="center"/>
        </w:trPr>
        <w:tc>
          <w:tcPr>
            <w:tcW w:w="5475" w:type="dxa"/>
            <w:tcBorders>
              <w:top w:val="nil"/>
              <w:left w:val="nil"/>
              <w:bottom w:val="nil"/>
              <w:right w:val="nil"/>
            </w:tcBorders>
            <w:shd w:val="clear" w:color="000000" w:fill="F2F2F2"/>
            <w:vAlign w:val="center"/>
          </w:tcPr>
          <w:p w14:paraId="39799402" w14:textId="6BCCE674" w:rsidR="00AB5438" w:rsidRPr="00163D67" w:rsidRDefault="00AB5438" w:rsidP="00AB5438">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Inversiones Financieras a Corto Plazo </w:t>
            </w:r>
            <w:r>
              <w:rPr>
                <w:rFonts w:ascii="Noto Sans" w:hAnsi="Noto Sans" w:cs="Noto Sans"/>
                <w:b/>
                <w:bCs/>
                <w:color w:val="000000"/>
                <w:sz w:val="15"/>
                <w:szCs w:val="15"/>
              </w:rPr>
              <w:t>(3.2.b)</w:t>
            </w:r>
          </w:p>
        </w:tc>
        <w:tc>
          <w:tcPr>
            <w:tcW w:w="1960" w:type="dxa"/>
            <w:tcBorders>
              <w:top w:val="nil"/>
              <w:left w:val="nil"/>
              <w:bottom w:val="nil"/>
              <w:right w:val="nil"/>
            </w:tcBorders>
            <w:shd w:val="clear" w:color="000000" w:fill="F2F2F2"/>
            <w:vAlign w:val="center"/>
          </w:tcPr>
          <w:p w14:paraId="082FD9C9" w14:textId="12A04F2E"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85,047,324,099.4 </w:t>
            </w:r>
          </w:p>
        </w:tc>
        <w:tc>
          <w:tcPr>
            <w:tcW w:w="1961" w:type="dxa"/>
            <w:tcBorders>
              <w:top w:val="nil"/>
              <w:left w:val="nil"/>
              <w:bottom w:val="nil"/>
              <w:right w:val="nil"/>
            </w:tcBorders>
            <w:shd w:val="clear" w:color="000000" w:fill="F2F2F2"/>
            <w:vAlign w:val="center"/>
          </w:tcPr>
          <w:p w14:paraId="2EC2AB51" w14:textId="39AD9919"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60,243,761,978.3 </w:t>
            </w:r>
          </w:p>
        </w:tc>
      </w:tr>
      <w:tr w:rsidR="00AB5438" w:rsidRPr="005946C5" w14:paraId="1E439DF6" w14:textId="77777777" w:rsidTr="00F30305">
        <w:trPr>
          <w:trHeight w:val="283"/>
          <w:jc w:val="center"/>
        </w:trPr>
        <w:tc>
          <w:tcPr>
            <w:tcW w:w="5475" w:type="dxa"/>
            <w:tcBorders>
              <w:top w:val="nil"/>
              <w:left w:val="nil"/>
              <w:right w:val="nil"/>
            </w:tcBorders>
            <w:shd w:val="clear" w:color="000000" w:fill="F2F2F2"/>
            <w:vAlign w:val="center"/>
          </w:tcPr>
          <w:p w14:paraId="2D1AEB04" w14:textId="6EEEAB12" w:rsidR="00AB5438" w:rsidRPr="00163D67" w:rsidRDefault="00AB5438" w:rsidP="00AB5438">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Deudores Diversos </w:t>
            </w:r>
            <w:r>
              <w:rPr>
                <w:rFonts w:ascii="Noto Sans" w:hAnsi="Noto Sans" w:cs="Noto Sans"/>
                <w:b/>
                <w:bCs/>
                <w:color w:val="000000"/>
                <w:sz w:val="15"/>
                <w:szCs w:val="15"/>
              </w:rPr>
              <w:t>(3.2.c)</w:t>
            </w:r>
          </w:p>
        </w:tc>
        <w:tc>
          <w:tcPr>
            <w:tcW w:w="1960" w:type="dxa"/>
            <w:tcBorders>
              <w:top w:val="nil"/>
              <w:left w:val="nil"/>
              <w:right w:val="nil"/>
            </w:tcBorders>
            <w:shd w:val="clear" w:color="000000" w:fill="F2F2F2"/>
            <w:vAlign w:val="center"/>
          </w:tcPr>
          <w:p w14:paraId="7CB6B36B" w14:textId="467470C8"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37,055,120,891.0 </w:t>
            </w:r>
          </w:p>
        </w:tc>
        <w:tc>
          <w:tcPr>
            <w:tcW w:w="1961" w:type="dxa"/>
            <w:tcBorders>
              <w:top w:val="nil"/>
              <w:left w:val="nil"/>
              <w:right w:val="nil"/>
            </w:tcBorders>
            <w:shd w:val="clear" w:color="000000" w:fill="F2F2F2"/>
            <w:vAlign w:val="center"/>
          </w:tcPr>
          <w:p w14:paraId="080E0E34" w14:textId="0890E4FE"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21,668,308,244.6 </w:t>
            </w:r>
          </w:p>
        </w:tc>
      </w:tr>
      <w:tr w:rsidR="00AB5438" w:rsidRPr="005946C5" w14:paraId="615DF0AB" w14:textId="77777777" w:rsidTr="00F30305">
        <w:trPr>
          <w:trHeight w:val="283"/>
          <w:jc w:val="center"/>
        </w:trPr>
        <w:tc>
          <w:tcPr>
            <w:tcW w:w="5475" w:type="dxa"/>
            <w:tcBorders>
              <w:top w:val="nil"/>
              <w:left w:val="nil"/>
              <w:right w:val="nil"/>
            </w:tcBorders>
            <w:shd w:val="clear" w:color="000000" w:fill="F2F2F2"/>
            <w:vAlign w:val="center"/>
          </w:tcPr>
          <w:p w14:paraId="230F9B45" w14:textId="1A6EFB96" w:rsidR="00AB5438" w:rsidRPr="00163D67" w:rsidRDefault="00AB5438" w:rsidP="00AB5438">
            <w:pPr>
              <w:spacing w:after="0" w:line="240" w:lineRule="auto"/>
              <w:rPr>
                <w:rFonts w:ascii="Noto Sans" w:hAnsi="Noto Sans" w:cs="Noto Sans"/>
                <w:b/>
                <w:bCs/>
                <w:color w:val="000000"/>
                <w:sz w:val="15"/>
                <w:szCs w:val="15"/>
                <w:lang w:val="es-ES"/>
              </w:rPr>
            </w:pPr>
            <w:r>
              <w:rPr>
                <w:rFonts w:ascii="Noto Sans" w:hAnsi="Noto Sans" w:cs="Noto Sans"/>
                <w:color w:val="000000"/>
                <w:sz w:val="15"/>
                <w:szCs w:val="15"/>
              </w:rPr>
              <w:t xml:space="preserve">Cuentas por Cobrar </w:t>
            </w:r>
            <w:r>
              <w:rPr>
                <w:rFonts w:ascii="Noto Sans" w:hAnsi="Noto Sans" w:cs="Noto Sans"/>
                <w:b/>
                <w:bCs/>
                <w:color w:val="000000"/>
                <w:sz w:val="15"/>
                <w:szCs w:val="15"/>
              </w:rPr>
              <w:t>(3.2.d)</w:t>
            </w:r>
          </w:p>
        </w:tc>
        <w:tc>
          <w:tcPr>
            <w:tcW w:w="1960" w:type="dxa"/>
            <w:tcBorders>
              <w:top w:val="nil"/>
              <w:left w:val="nil"/>
              <w:right w:val="nil"/>
            </w:tcBorders>
            <w:shd w:val="clear" w:color="000000" w:fill="F2F2F2"/>
            <w:vAlign w:val="center"/>
          </w:tcPr>
          <w:p w14:paraId="28C462AF" w14:textId="708BF1AE"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3,751,214,316.8 </w:t>
            </w:r>
          </w:p>
        </w:tc>
        <w:tc>
          <w:tcPr>
            <w:tcW w:w="1961" w:type="dxa"/>
            <w:tcBorders>
              <w:top w:val="nil"/>
              <w:left w:val="nil"/>
              <w:right w:val="nil"/>
            </w:tcBorders>
            <w:shd w:val="clear" w:color="000000" w:fill="F2F2F2"/>
            <w:vAlign w:val="center"/>
          </w:tcPr>
          <w:p w14:paraId="110AAB65" w14:textId="7A5D8075" w:rsidR="00AB5438" w:rsidRPr="00163D67" w:rsidRDefault="00AB5438" w:rsidP="00AB543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3,283,356,341.9 </w:t>
            </w:r>
          </w:p>
        </w:tc>
      </w:tr>
      <w:tr w:rsidR="00AB5438" w:rsidRPr="005946C5" w14:paraId="20DE2989" w14:textId="77777777" w:rsidTr="00F30305">
        <w:trPr>
          <w:trHeight w:val="283"/>
          <w:jc w:val="center"/>
        </w:trPr>
        <w:tc>
          <w:tcPr>
            <w:tcW w:w="5475" w:type="dxa"/>
            <w:tcBorders>
              <w:top w:val="nil"/>
              <w:left w:val="nil"/>
              <w:right w:val="nil"/>
            </w:tcBorders>
            <w:shd w:val="clear" w:color="000000" w:fill="F2F2F2"/>
            <w:vAlign w:val="center"/>
          </w:tcPr>
          <w:p w14:paraId="6BE6CC0D" w14:textId="3653F4B2" w:rsidR="00AB5438" w:rsidRPr="00163D67" w:rsidRDefault="00AB5438" w:rsidP="00AB5438">
            <w:pPr>
              <w:spacing w:after="0" w:line="240" w:lineRule="auto"/>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Otros Derechos a Recibir Efectivo o Equivalentes </w:t>
            </w:r>
            <w:r>
              <w:rPr>
                <w:rFonts w:ascii="Noto Sans" w:hAnsi="Noto Sans" w:cs="Noto Sans"/>
                <w:b/>
                <w:bCs/>
                <w:color w:val="000000"/>
                <w:sz w:val="15"/>
                <w:szCs w:val="15"/>
              </w:rPr>
              <w:t>(3.2.e)</w:t>
            </w:r>
          </w:p>
        </w:tc>
        <w:tc>
          <w:tcPr>
            <w:tcW w:w="1960" w:type="dxa"/>
            <w:tcBorders>
              <w:top w:val="nil"/>
              <w:left w:val="nil"/>
              <w:right w:val="nil"/>
            </w:tcBorders>
            <w:shd w:val="clear" w:color="000000" w:fill="F2F2F2"/>
            <w:vAlign w:val="center"/>
          </w:tcPr>
          <w:p w14:paraId="102EF933" w14:textId="545C5912" w:rsidR="00AB5438" w:rsidRPr="00163D67" w:rsidRDefault="00AB5438" w:rsidP="00AB543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         14,166,651.1 </w:t>
            </w:r>
          </w:p>
        </w:tc>
        <w:tc>
          <w:tcPr>
            <w:tcW w:w="1961" w:type="dxa"/>
            <w:tcBorders>
              <w:top w:val="nil"/>
              <w:left w:val="nil"/>
              <w:right w:val="nil"/>
            </w:tcBorders>
            <w:shd w:val="clear" w:color="000000" w:fill="F2F2F2"/>
            <w:vAlign w:val="center"/>
          </w:tcPr>
          <w:p w14:paraId="751AD159" w14:textId="75D1E0A0" w:rsidR="00AB5438" w:rsidRPr="00163D67" w:rsidRDefault="00AB5438" w:rsidP="00AB543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 xml:space="preserve">                       13,363,481.8 </w:t>
            </w:r>
          </w:p>
        </w:tc>
      </w:tr>
      <w:tr w:rsidR="00AB5438" w:rsidRPr="005946C5" w14:paraId="7491A380" w14:textId="77777777" w:rsidTr="00F30305">
        <w:trPr>
          <w:trHeight w:val="283"/>
          <w:jc w:val="center"/>
        </w:trPr>
        <w:tc>
          <w:tcPr>
            <w:tcW w:w="5475" w:type="dxa"/>
            <w:tcBorders>
              <w:top w:val="nil"/>
              <w:left w:val="nil"/>
              <w:bottom w:val="single" w:sz="12" w:space="0" w:color="A6802D"/>
              <w:right w:val="nil"/>
            </w:tcBorders>
            <w:shd w:val="clear" w:color="000000" w:fill="F2F2F2"/>
            <w:vAlign w:val="center"/>
          </w:tcPr>
          <w:p w14:paraId="05EC3D52" w14:textId="6176AFEF" w:rsidR="00AB5438" w:rsidRPr="00163D67" w:rsidRDefault="00AB5438" w:rsidP="00AB5438">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Derechos a Recibir Efectivo o Equivalentes</w:t>
            </w:r>
          </w:p>
        </w:tc>
        <w:tc>
          <w:tcPr>
            <w:tcW w:w="1960" w:type="dxa"/>
            <w:tcBorders>
              <w:top w:val="nil"/>
              <w:left w:val="nil"/>
              <w:bottom w:val="single" w:sz="12" w:space="0" w:color="A6802D"/>
              <w:right w:val="nil"/>
            </w:tcBorders>
            <w:shd w:val="clear" w:color="000000" w:fill="F2F2F2"/>
            <w:vAlign w:val="center"/>
          </w:tcPr>
          <w:p w14:paraId="52F93061" w14:textId="27C94C85" w:rsidR="00AB5438" w:rsidRPr="00163D67" w:rsidRDefault="00AB5438" w:rsidP="00AB543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235,882,709,122.3 </w:t>
            </w:r>
          </w:p>
        </w:tc>
        <w:tc>
          <w:tcPr>
            <w:tcW w:w="1961" w:type="dxa"/>
            <w:tcBorders>
              <w:top w:val="nil"/>
              <w:left w:val="nil"/>
              <w:bottom w:val="single" w:sz="12" w:space="0" w:color="A6802D"/>
              <w:right w:val="nil"/>
            </w:tcBorders>
            <w:shd w:val="clear" w:color="000000" w:fill="F2F2F2"/>
            <w:vAlign w:val="center"/>
          </w:tcPr>
          <w:p w14:paraId="3CC1DEEB" w14:textId="26DC5FC2" w:rsidR="00AB5438" w:rsidRPr="00163D67" w:rsidRDefault="00AB5438" w:rsidP="00AB543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191,919,734,063.9 </w:t>
            </w:r>
          </w:p>
        </w:tc>
      </w:tr>
      <w:tr w:rsidR="003C46BC" w:rsidRPr="00274555" w14:paraId="1CCAC3A2" w14:textId="77777777" w:rsidTr="00B41080">
        <w:trPr>
          <w:trHeight w:val="226"/>
          <w:jc w:val="center"/>
        </w:trPr>
        <w:tc>
          <w:tcPr>
            <w:tcW w:w="5475" w:type="dxa"/>
            <w:tcBorders>
              <w:top w:val="single" w:sz="12" w:space="0" w:color="A6802D"/>
              <w:left w:val="nil"/>
              <w:right w:val="nil"/>
            </w:tcBorders>
            <w:vAlign w:val="center"/>
          </w:tcPr>
          <w:p w14:paraId="123A664E" w14:textId="77777777" w:rsidR="003C46BC" w:rsidRPr="00274555" w:rsidRDefault="003C46BC"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65737B1A" w14:textId="77777777" w:rsidR="003C46BC" w:rsidRPr="00274555" w:rsidRDefault="003C46BC"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1A467A33" w14:textId="77777777" w:rsidR="003C46BC" w:rsidRPr="00274555" w:rsidRDefault="003C46BC" w:rsidP="00B41080">
            <w:pPr>
              <w:spacing w:after="0" w:line="240" w:lineRule="auto"/>
              <w:jc w:val="both"/>
              <w:rPr>
                <w:rFonts w:ascii="Noto Sans" w:eastAsia="Times New Roman" w:hAnsi="Noto Sans" w:cs="Noto Sans"/>
                <w:b/>
                <w:bCs/>
                <w:color w:val="000000"/>
                <w:sz w:val="14"/>
                <w:szCs w:val="14"/>
                <w:lang w:eastAsia="es-MX"/>
              </w:rPr>
            </w:pPr>
          </w:p>
        </w:tc>
      </w:tr>
    </w:tbl>
    <w:p w14:paraId="29BFCDCF" w14:textId="77777777" w:rsidR="00163D67" w:rsidRDefault="00163D67" w:rsidP="00360EE3">
      <w:pPr>
        <w:pStyle w:val="TEXTONORMAL"/>
        <w:ind w:left="720"/>
      </w:pPr>
      <w:bookmarkStart w:id="3" w:name="_Hlk196325294"/>
    </w:p>
    <w:p w14:paraId="3E473B44" w14:textId="51F8184C" w:rsidR="003C46BC" w:rsidRDefault="006459B0" w:rsidP="00ED1D2E">
      <w:pPr>
        <w:pStyle w:val="TEXTONORMAL"/>
        <w:numPr>
          <w:ilvl w:val="0"/>
          <w:numId w:val="11"/>
        </w:numPr>
      </w:pPr>
      <w:r>
        <w:t>3</w:t>
      </w:r>
      <w:r w:rsidR="00360EE3">
        <w:t xml:space="preserve">.2.a) </w:t>
      </w:r>
      <w:r w:rsidR="000F4D76" w:rsidRPr="00BE115F">
        <w:t>Al</w:t>
      </w:r>
      <w:r w:rsidR="000F4D76">
        <w:t xml:space="preserve"> </w:t>
      </w:r>
      <w:r w:rsidR="00D0032F" w:rsidRPr="002B3F78">
        <w:rPr>
          <w:rFonts w:cs="Noto Sans"/>
          <w:szCs w:val="18"/>
        </w:rPr>
        <w:t>3</w:t>
      </w:r>
      <w:r w:rsidR="00D0032F">
        <w:rPr>
          <w:rFonts w:cs="Noto Sans"/>
          <w:szCs w:val="18"/>
        </w:rPr>
        <w:t>0</w:t>
      </w:r>
      <w:r w:rsidR="00D0032F" w:rsidRPr="002B3F78">
        <w:rPr>
          <w:rFonts w:cs="Noto Sans"/>
          <w:szCs w:val="18"/>
        </w:rPr>
        <w:t xml:space="preserve"> de </w:t>
      </w:r>
      <w:r w:rsidR="00D0032F">
        <w:rPr>
          <w:rFonts w:cs="Noto Sans"/>
          <w:szCs w:val="18"/>
        </w:rPr>
        <w:t>junio</w:t>
      </w:r>
      <w:r w:rsidR="00D0032F" w:rsidRPr="002B3F78">
        <w:rPr>
          <w:rFonts w:cs="Noto Sans"/>
          <w:szCs w:val="18"/>
        </w:rPr>
        <w:t xml:space="preserve"> </w:t>
      </w:r>
      <w:r w:rsidR="000F4D76" w:rsidRPr="00236E14">
        <w:t>de 2025</w:t>
      </w:r>
      <w:r w:rsidR="000F4D76">
        <w:t xml:space="preserve"> y </w:t>
      </w:r>
      <w:r w:rsidR="000F4D76" w:rsidRPr="00BE115F">
        <w:t>31 de diciembre de 20</w:t>
      </w:r>
      <w:r w:rsidR="000F4D76">
        <w:t>24</w:t>
      </w:r>
      <w:r w:rsidR="00360EE3" w:rsidRPr="00360EE3">
        <w:t xml:space="preserve">, el rubro de Ingresos por Recuperar por Cuotas </w:t>
      </w:r>
      <w:r w:rsidR="0081738F" w:rsidRPr="00360EE3">
        <w:t>Obrero-Patronales</w:t>
      </w:r>
      <w:r w:rsidR="00360EE3" w:rsidRPr="00360EE3">
        <w:t xml:space="preserve"> se integra de la siguiente manera:</w:t>
      </w:r>
    </w:p>
    <w:p w14:paraId="4DB97AF7" w14:textId="77777777" w:rsidR="006459B0" w:rsidRDefault="006459B0" w:rsidP="000B0DE6">
      <w:pPr>
        <w:pStyle w:val="TEXTONORMAL"/>
        <w:ind w:left="720"/>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60EE3" w:rsidRPr="005946C5" w14:paraId="31FC272B"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FAF38B6" w14:textId="77777777"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01F75EE" w14:textId="77777777"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60EE3" w:rsidRPr="005946C5" w14:paraId="1152E05A"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31777231" w14:textId="77777777"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4E6485E9" w14:textId="105BF653" w:rsidR="00360EE3" w:rsidRPr="008E629A" w:rsidRDefault="00D725C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17219C2" w14:textId="1A692E01" w:rsidR="00360EE3" w:rsidRPr="008E629A" w:rsidRDefault="00360EE3"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725A63">
              <w:rPr>
                <w:rFonts w:ascii="Noto Sans" w:eastAsia="Times New Roman" w:hAnsi="Noto Sans" w:cs="Noto Sans"/>
                <w:b/>
                <w:bCs/>
                <w:color w:val="FFFFFF"/>
                <w:sz w:val="16"/>
                <w:szCs w:val="16"/>
                <w:lang w:eastAsia="es-MX"/>
              </w:rPr>
              <w:t>4</w:t>
            </w:r>
          </w:p>
        </w:tc>
      </w:tr>
      <w:tr w:rsidR="00CE70DE" w:rsidRPr="005946C5" w14:paraId="50064CA6" w14:textId="77777777" w:rsidTr="006459B0">
        <w:trPr>
          <w:trHeight w:val="283"/>
          <w:jc w:val="center"/>
        </w:trPr>
        <w:tc>
          <w:tcPr>
            <w:tcW w:w="5475" w:type="dxa"/>
            <w:tcBorders>
              <w:top w:val="triple" w:sz="12" w:space="0" w:color="A6802D"/>
              <w:left w:val="nil"/>
              <w:bottom w:val="nil"/>
              <w:right w:val="nil"/>
            </w:tcBorders>
            <w:shd w:val="clear" w:color="000000" w:fill="F2F2F2"/>
            <w:vAlign w:val="center"/>
          </w:tcPr>
          <w:p w14:paraId="33758B01" w14:textId="0D647716" w:rsidR="00CE70DE" w:rsidRPr="006459B0" w:rsidRDefault="00CE70DE" w:rsidP="00CE70D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Cuotas Obrero-Patronales</w:t>
            </w:r>
          </w:p>
        </w:tc>
        <w:tc>
          <w:tcPr>
            <w:tcW w:w="1960" w:type="dxa"/>
            <w:tcBorders>
              <w:top w:val="triple" w:sz="12" w:space="0" w:color="A6802D"/>
              <w:left w:val="nil"/>
              <w:bottom w:val="nil"/>
              <w:right w:val="nil"/>
            </w:tcBorders>
            <w:shd w:val="clear" w:color="000000" w:fill="F2F2F2"/>
            <w:vAlign w:val="center"/>
          </w:tcPr>
          <w:p w14:paraId="3F626E15" w14:textId="59D944E1" w:rsidR="00CE70DE" w:rsidRPr="006459B0" w:rsidRDefault="00CE70DE" w:rsidP="00CE70D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86,950,651,934.6 </w:t>
            </w:r>
          </w:p>
        </w:tc>
        <w:tc>
          <w:tcPr>
            <w:tcW w:w="1961" w:type="dxa"/>
            <w:tcBorders>
              <w:top w:val="triple" w:sz="12" w:space="0" w:color="A6802D"/>
              <w:left w:val="nil"/>
              <w:bottom w:val="nil"/>
              <w:right w:val="nil"/>
            </w:tcBorders>
            <w:shd w:val="clear" w:color="000000" w:fill="F2F2F2"/>
            <w:vAlign w:val="center"/>
          </w:tcPr>
          <w:p w14:paraId="3E25ED1D" w14:textId="5FFA2592" w:rsidR="00CE70DE" w:rsidRPr="006459B0" w:rsidRDefault="00CE70DE" w:rsidP="00CE70D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83,220,880,863.0</w:t>
            </w:r>
          </w:p>
        </w:tc>
      </w:tr>
      <w:tr w:rsidR="00CE70DE" w:rsidRPr="00FC0913" w14:paraId="0A79C559" w14:textId="77777777" w:rsidTr="006459B0">
        <w:trPr>
          <w:trHeight w:val="283"/>
          <w:jc w:val="center"/>
        </w:trPr>
        <w:tc>
          <w:tcPr>
            <w:tcW w:w="5475" w:type="dxa"/>
            <w:tcBorders>
              <w:top w:val="nil"/>
              <w:left w:val="nil"/>
              <w:bottom w:val="nil"/>
              <w:right w:val="nil"/>
            </w:tcBorders>
            <w:shd w:val="clear" w:color="000000" w:fill="F2F2F2"/>
            <w:vAlign w:val="center"/>
          </w:tcPr>
          <w:p w14:paraId="1CB7515A" w14:textId="4265254E" w:rsidR="00CE70DE" w:rsidRPr="006459B0" w:rsidRDefault="00CE70DE" w:rsidP="00CE70D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Multas</w:t>
            </w:r>
          </w:p>
        </w:tc>
        <w:tc>
          <w:tcPr>
            <w:tcW w:w="1960" w:type="dxa"/>
            <w:tcBorders>
              <w:top w:val="nil"/>
              <w:left w:val="nil"/>
              <w:bottom w:val="nil"/>
              <w:right w:val="nil"/>
            </w:tcBorders>
            <w:shd w:val="clear" w:color="000000" w:fill="F2F2F2"/>
            <w:vAlign w:val="center"/>
          </w:tcPr>
          <w:p w14:paraId="3FB8A364" w14:textId="12FF34B5" w:rsidR="00CE70DE" w:rsidRPr="006459B0" w:rsidRDefault="00CE70DE" w:rsidP="00CE70D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25,434,462,909.4 </w:t>
            </w:r>
          </w:p>
        </w:tc>
        <w:tc>
          <w:tcPr>
            <w:tcW w:w="1961" w:type="dxa"/>
            <w:tcBorders>
              <w:top w:val="nil"/>
              <w:left w:val="nil"/>
              <w:bottom w:val="nil"/>
              <w:right w:val="nil"/>
            </w:tcBorders>
            <w:shd w:val="clear" w:color="000000" w:fill="F2F2F2"/>
            <w:vAlign w:val="center"/>
          </w:tcPr>
          <w:p w14:paraId="296107ED" w14:textId="7853D93E" w:rsidR="00CE70DE" w:rsidRPr="006459B0" w:rsidRDefault="00CE70DE" w:rsidP="00CE70D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23,421,801,756.8</w:t>
            </w:r>
          </w:p>
        </w:tc>
      </w:tr>
      <w:tr w:rsidR="00F30305" w:rsidRPr="00FC0913" w14:paraId="042A2E2F" w14:textId="77777777" w:rsidTr="006459B0">
        <w:trPr>
          <w:trHeight w:val="283"/>
          <w:jc w:val="center"/>
        </w:trPr>
        <w:tc>
          <w:tcPr>
            <w:tcW w:w="5475" w:type="dxa"/>
            <w:tcBorders>
              <w:top w:val="nil"/>
              <w:left w:val="nil"/>
              <w:bottom w:val="nil"/>
              <w:right w:val="nil"/>
            </w:tcBorders>
            <w:shd w:val="clear" w:color="000000" w:fill="F2F2F2"/>
            <w:vAlign w:val="center"/>
          </w:tcPr>
          <w:p w14:paraId="7C94AE49" w14:textId="07D53C02" w:rsidR="00F30305" w:rsidRPr="006459B0" w:rsidRDefault="00F30305">
            <w:pPr>
              <w:spacing w:after="0" w:line="240" w:lineRule="auto"/>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Subtotal Cuotas Obrero-Patronales</w:t>
            </w:r>
          </w:p>
        </w:tc>
        <w:tc>
          <w:tcPr>
            <w:tcW w:w="1960" w:type="dxa"/>
            <w:tcBorders>
              <w:top w:val="nil"/>
              <w:left w:val="nil"/>
              <w:bottom w:val="nil"/>
              <w:right w:val="nil"/>
            </w:tcBorders>
            <w:shd w:val="clear" w:color="000000" w:fill="F2F2F2"/>
            <w:vAlign w:val="center"/>
          </w:tcPr>
          <w:p w14:paraId="6EEF273E" w14:textId="731E92E8" w:rsidR="00F30305" w:rsidRPr="00CE70DE" w:rsidRDefault="00CE70DE" w:rsidP="00CE70DE">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rPr>
              <w:t xml:space="preserve">    112,385,114,844.0 </w:t>
            </w:r>
          </w:p>
        </w:tc>
        <w:tc>
          <w:tcPr>
            <w:tcW w:w="1961" w:type="dxa"/>
            <w:tcBorders>
              <w:top w:val="nil"/>
              <w:left w:val="nil"/>
              <w:bottom w:val="nil"/>
              <w:right w:val="nil"/>
            </w:tcBorders>
            <w:shd w:val="clear" w:color="000000" w:fill="F2F2F2"/>
            <w:vAlign w:val="center"/>
          </w:tcPr>
          <w:p w14:paraId="67C1781F" w14:textId="71980366" w:rsidR="00F30305" w:rsidRPr="006459B0" w:rsidRDefault="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106,642,682,619.8</w:t>
            </w:r>
          </w:p>
        </w:tc>
      </w:tr>
      <w:tr w:rsidR="00F30305" w:rsidRPr="005946C5" w14:paraId="4FBFBE93" w14:textId="77777777" w:rsidTr="006459B0">
        <w:trPr>
          <w:trHeight w:val="283"/>
          <w:jc w:val="center"/>
        </w:trPr>
        <w:tc>
          <w:tcPr>
            <w:tcW w:w="5475" w:type="dxa"/>
            <w:tcBorders>
              <w:top w:val="nil"/>
              <w:left w:val="nil"/>
              <w:right w:val="nil"/>
            </w:tcBorders>
            <w:shd w:val="clear" w:color="000000" w:fill="F2F2F2"/>
            <w:vAlign w:val="center"/>
          </w:tcPr>
          <w:p w14:paraId="613A6A48" w14:textId="4CC4ECBE" w:rsidR="00F30305" w:rsidRPr="006459B0" w:rsidRDefault="00F3030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Cuotas del Gobierno Federal </w:t>
            </w:r>
            <w:r>
              <w:rPr>
                <w:rFonts w:ascii="Noto Sans" w:hAnsi="Noto Sans" w:cs="Noto Sans"/>
                <w:b/>
                <w:bCs/>
                <w:color w:val="000000"/>
                <w:sz w:val="15"/>
                <w:szCs w:val="15"/>
              </w:rPr>
              <w:t>(3.2.a.1)</w:t>
            </w:r>
          </w:p>
        </w:tc>
        <w:tc>
          <w:tcPr>
            <w:tcW w:w="1960" w:type="dxa"/>
            <w:tcBorders>
              <w:top w:val="nil"/>
              <w:left w:val="nil"/>
              <w:right w:val="nil"/>
            </w:tcBorders>
            <w:shd w:val="clear" w:color="000000" w:fill="F2F2F2"/>
            <w:vAlign w:val="center"/>
          </w:tcPr>
          <w:p w14:paraId="190C489D" w14:textId="40C2E71B" w:rsidR="00F30305" w:rsidRPr="00F06709" w:rsidRDefault="00F06709" w:rsidP="00F06709">
            <w:pPr>
              <w:spacing w:after="0" w:line="240" w:lineRule="auto"/>
              <w:jc w:val="right"/>
              <w:rPr>
                <w:rFonts w:ascii="Noto Sans" w:hAnsi="Noto Sans" w:cs="Noto Sans"/>
                <w:color w:val="000000"/>
                <w:sz w:val="15"/>
                <w:szCs w:val="15"/>
                <w:lang w:eastAsia="es-MX"/>
              </w:rPr>
            </w:pPr>
            <w:r>
              <w:rPr>
                <w:rFonts w:ascii="Noto Sans" w:hAnsi="Noto Sans" w:cs="Noto Sans"/>
                <w:color w:val="000000"/>
                <w:sz w:val="15"/>
                <w:szCs w:val="15"/>
              </w:rPr>
              <w:t xml:space="preserve">    - 2,370,231,680.0 </w:t>
            </w:r>
          </w:p>
        </w:tc>
        <w:tc>
          <w:tcPr>
            <w:tcW w:w="1961" w:type="dxa"/>
            <w:tcBorders>
              <w:top w:val="nil"/>
              <w:left w:val="nil"/>
              <w:right w:val="nil"/>
            </w:tcBorders>
            <w:shd w:val="clear" w:color="000000" w:fill="F2F2F2"/>
            <w:vAlign w:val="center"/>
          </w:tcPr>
          <w:p w14:paraId="074A7D90" w14:textId="48D16CFE" w:rsidR="00F30305" w:rsidRPr="006459B0" w:rsidRDefault="00F3030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68,261,397.5</w:t>
            </w:r>
          </w:p>
        </w:tc>
      </w:tr>
      <w:tr w:rsidR="00F30305" w:rsidRPr="005946C5" w14:paraId="0DCFB583" w14:textId="77777777" w:rsidTr="006459B0">
        <w:trPr>
          <w:trHeight w:val="283"/>
          <w:jc w:val="center"/>
        </w:trPr>
        <w:tc>
          <w:tcPr>
            <w:tcW w:w="5475" w:type="dxa"/>
            <w:tcBorders>
              <w:top w:val="nil"/>
              <w:left w:val="nil"/>
              <w:bottom w:val="single" w:sz="12" w:space="0" w:color="A6802D"/>
              <w:right w:val="nil"/>
            </w:tcBorders>
            <w:shd w:val="clear" w:color="000000" w:fill="F2F2F2"/>
            <w:vAlign w:val="center"/>
            <w:hideMark/>
          </w:tcPr>
          <w:p w14:paraId="09FEEF43" w14:textId="69648D79" w:rsidR="00F30305" w:rsidRPr="006459B0" w:rsidRDefault="00F30305">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Ingresos por Recuperar por Cuotas Obrero-Patronales</w:t>
            </w:r>
          </w:p>
        </w:tc>
        <w:tc>
          <w:tcPr>
            <w:tcW w:w="1960" w:type="dxa"/>
            <w:tcBorders>
              <w:top w:val="nil"/>
              <w:left w:val="nil"/>
              <w:bottom w:val="single" w:sz="12" w:space="0" w:color="A6802D"/>
              <w:right w:val="nil"/>
            </w:tcBorders>
            <w:shd w:val="clear" w:color="000000" w:fill="F2F2F2"/>
            <w:vAlign w:val="center"/>
          </w:tcPr>
          <w:p w14:paraId="142D995C" w14:textId="55B5C504" w:rsidR="00F30305" w:rsidRPr="002215D6" w:rsidRDefault="00175D53" w:rsidP="002215D6">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rPr>
              <w:t>110,014,883,164.0</w:t>
            </w:r>
          </w:p>
        </w:tc>
        <w:tc>
          <w:tcPr>
            <w:tcW w:w="1961" w:type="dxa"/>
            <w:tcBorders>
              <w:top w:val="nil"/>
              <w:left w:val="nil"/>
              <w:bottom w:val="single" w:sz="12" w:space="0" w:color="A6802D"/>
              <w:right w:val="nil"/>
            </w:tcBorders>
            <w:shd w:val="clear" w:color="000000" w:fill="F2F2F2"/>
            <w:vAlign w:val="center"/>
          </w:tcPr>
          <w:p w14:paraId="346124DB" w14:textId="1E8DEB01" w:rsidR="00F30305" w:rsidRPr="006459B0" w:rsidRDefault="00F3030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106,710,944,017.3</w:t>
            </w:r>
          </w:p>
        </w:tc>
      </w:tr>
      <w:tr w:rsidR="00360EE3" w:rsidRPr="00274555" w14:paraId="41C56E36" w14:textId="77777777" w:rsidTr="00B41080">
        <w:trPr>
          <w:trHeight w:val="226"/>
          <w:jc w:val="center"/>
        </w:trPr>
        <w:tc>
          <w:tcPr>
            <w:tcW w:w="5475" w:type="dxa"/>
            <w:tcBorders>
              <w:top w:val="single" w:sz="12" w:space="0" w:color="A6802D"/>
              <w:left w:val="nil"/>
              <w:right w:val="nil"/>
            </w:tcBorders>
            <w:vAlign w:val="center"/>
          </w:tcPr>
          <w:p w14:paraId="74730ECB" w14:textId="77777777" w:rsidR="00360EE3" w:rsidRPr="00274555" w:rsidRDefault="00360EE3"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7D0B8864" w14:textId="77777777" w:rsidR="00360EE3" w:rsidRPr="00274555" w:rsidRDefault="00360EE3"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3E7C4DE7" w14:textId="77777777" w:rsidR="00360EE3" w:rsidRPr="00274555" w:rsidRDefault="00360EE3" w:rsidP="00B41080">
            <w:pPr>
              <w:spacing w:after="0" w:line="240" w:lineRule="auto"/>
              <w:jc w:val="both"/>
              <w:rPr>
                <w:rFonts w:ascii="Noto Sans" w:eastAsia="Times New Roman" w:hAnsi="Noto Sans" w:cs="Noto Sans"/>
                <w:b/>
                <w:bCs/>
                <w:color w:val="000000"/>
                <w:sz w:val="14"/>
                <w:szCs w:val="14"/>
                <w:lang w:eastAsia="es-MX"/>
              </w:rPr>
            </w:pPr>
          </w:p>
        </w:tc>
      </w:tr>
    </w:tbl>
    <w:p w14:paraId="4E21D88C" w14:textId="77777777" w:rsidR="00360EE3" w:rsidRDefault="00360EE3" w:rsidP="00360EE3">
      <w:pPr>
        <w:pStyle w:val="TEXTONORMAL"/>
        <w:ind w:left="360"/>
      </w:pPr>
    </w:p>
    <w:bookmarkEnd w:id="3"/>
    <w:p w14:paraId="0AC6D08A" w14:textId="561989A3" w:rsidR="00CD5001" w:rsidRDefault="006459B0" w:rsidP="00ED1D2E">
      <w:pPr>
        <w:pStyle w:val="TEXTONORMAL"/>
        <w:numPr>
          <w:ilvl w:val="0"/>
          <w:numId w:val="13"/>
        </w:numPr>
        <w:ind w:left="998" w:hanging="284"/>
      </w:pPr>
      <w:r w:rsidRPr="0029052A">
        <w:lastRenderedPageBreak/>
        <w:t>3</w:t>
      </w:r>
      <w:r w:rsidR="00CE4A13" w:rsidRPr="0029052A">
        <w:t xml:space="preserve">.2.a.1) Al </w:t>
      </w:r>
      <w:r w:rsidR="00A870CD" w:rsidRPr="002B3F78">
        <w:rPr>
          <w:rFonts w:cs="Noto Sans"/>
          <w:szCs w:val="18"/>
        </w:rPr>
        <w:t>3</w:t>
      </w:r>
      <w:r w:rsidR="00A870CD">
        <w:rPr>
          <w:rFonts w:cs="Noto Sans"/>
          <w:szCs w:val="18"/>
        </w:rPr>
        <w:t>0</w:t>
      </w:r>
      <w:r w:rsidR="00A870CD" w:rsidRPr="002B3F78">
        <w:rPr>
          <w:rFonts w:cs="Noto Sans"/>
          <w:szCs w:val="18"/>
        </w:rPr>
        <w:t xml:space="preserve"> de </w:t>
      </w:r>
      <w:r w:rsidR="00A870CD">
        <w:rPr>
          <w:rFonts w:cs="Noto Sans"/>
          <w:szCs w:val="18"/>
        </w:rPr>
        <w:t>junio</w:t>
      </w:r>
      <w:r w:rsidR="00A870CD" w:rsidRPr="002B3F78">
        <w:rPr>
          <w:rFonts w:cs="Noto Sans"/>
          <w:szCs w:val="18"/>
        </w:rPr>
        <w:t xml:space="preserve"> </w:t>
      </w:r>
      <w:r w:rsidR="0097454D" w:rsidRPr="0029052A">
        <w:t xml:space="preserve">de 2025 el adeudo del Instituto al Gobierno federal por concepto de Cuotas para Seguridad Social fue de </w:t>
      </w:r>
      <w:r w:rsidR="007139BE" w:rsidRPr="008A0B9B">
        <w:t>2,370,231,680.0</w:t>
      </w:r>
      <w:r w:rsidR="0097454D" w:rsidRPr="0029052A">
        <w:t xml:space="preserve"> pesos y al 31 de diciembre de 2024 </w:t>
      </w:r>
      <w:r w:rsidR="00CE4A13" w:rsidRPr="0029052A">
        <w:t>el adeudo por parte del Gobierno Federal hacia el Instituto fue de 68,261,397.5 pesos</w:t>
      </w:r>
      <w:r w:rsidR="0097454D" w:rsidRPr="0029052A">
        <w:t>.</w:t>
      </w:r>
    </w:p>
    <w:p w14:paraId="083AEDDE" w14:textId="77777777" w:rsidR="00141726" w:rsidRPr="00360EE3" w:rsidRDefault="00141726" w:rsidP="00141726">
      <w:pPr>
        <w:pStyle w:val="TEXTONORMAL"/>
        <w:ind w:left="998"/>
      </w:pPr>
    </w:p>
    <w:p w14:paraId="57C405CF" w14:textId="77777777" w:rsidR="006D52F7" w:rsidRPr="00CD5001" w:rsidRDefault="006459B0" w:rsidP="00ED1D2E">
      <w:pPr>
        <w:pStyle w:val="TEXTONORMAL"/>
        <w:numPr>
          <w:ilvl w:val="0"/>
          <w:numId w:val="11"/>
        </w:numPr>
        <w:ind w:left="714" w:hanging="357"/>
        <w:jc w:val="left"/>
        <w:rPr>
          <w:rFonts w:cs="Noto Sans"/>
          <w:b/>
          <w:sz w:val="22"/>
        </w:rPr>
      </w:pPr>
      <w:r>
        <w:t>3</w:t>
      </w:r>
      <w:r w:rsidR="00CE4A13">
        <w:t xml:space="preserve">.2.b) </w:t>
      </w:r>
      <w:r w:rsidR="00CE4A13" w:rsidRPr="00CE4A13">
        <w:t xml:space="preserve">Ver integración nota </w:t>
      </w:r>
      <w:r>
        <w:t>3</w:t>
      </w:r>
      <w:r w:rsidR="00CE4A13" w:rsidRPr="00CE4A13">
        <w:t>.7.a</w:t>
      </w:r>
    </w:p>
    <w:p w14:paraId="161FBDD4" w14:textId="77777777" w:rsidR="00CD5001" w:rsidRPr="00CD5001" w:rsidRDefault="00CD5001" w:rsidP="008D6A0A">
      <w:pPr>
        <w:pStyle w:val="TEXTONORMAL"/>
        <w:ind w:left="714" w:hanging="357"/>
        <w:jc w:val="left"/>
        <w:rPr>
          <w:rFonts w:cs="Noto Sans"/>
          <w:b/>
          <w:sz w:val="22"/>
        </w:rPr>
      </w:pPr>
    </w:p>
    <w:p w14:paraId="5AC22982" w14:textId="7EE9B097" w:rsidR="00CD5001" w:rsidRPr="00CD5001" w:rsidRDefault="006459B0" w:rsidP="00ED1D2E">
      <w:pPr>
        <w:pStyle w:val="TEXTONORMAL"/>
        <w:numPr>
          <w:ilvl w:val="0"/>
          <w:numId w:val="11"/>
        </w:numPr>
        <w:ind w:left="714" w:hanging="357"/>
        <w:jc w:val="left"/>
        <w:rPr>
          <w:rFonts w:cs="Noto Sans"/>
          <w:b/>
          <w:sz w:val="22"/>
        </w:rPr>
      </w:pPr>
      <w:r>
        <w:t>3</w:t>
      </w:r>
      <w:r w:rsidR="00CD5001">
        <w:t xml:space="preserve">.2.c) </w:t>
      </w:r>
      <w:r w:rsidR="00E35210">
        <w:rPr>
          <w:rFonts w:cs="Noto Sans"/>
          <w:szCs w:val="18"/>
        </w:rPr>
        <w:t>A</w:t>
      </w:r>
      <w:r w:rsidR="00E35210" w:rsidRPr="000F4D76">
        <w:rPr>
          <w:rFonts w:cs="Noto Sans"/>
          <w:szCs w:val="18"/>
        </w:rPr>
        <w:t xml:space="preserve">l </w:t>
      </w:r>
      <w:r w:rsidR="00E06028" w:rsidRPr="002B3F78">
        <w:rPr>
          <w:rFonts w:cs="Noto Sans"/>
          <w:szCs w:val="18"/>
        </w:rPr>
        <w:t>3</w:t>
      </w:r>
      <w:r w:rsidR="00E06028">
        <w:rPr>
          <w:rFonts w:cs="Noto Sans"/>
          <w:szCs w:val="18"/>
        </w:rPr>
        <w:t>0</w:t>
      </w:r>
      <w:r w:rsidR="00E06028" w:rsidRPr="002B3F78">
        <w:rPr>
          <w:rFonts w:cs="Noto Sans"/>
          <w:szCs w:val="18"/>
        </w:rPr>
        <w:t xml:space="preserve"> de </w:t>
      </w:r>
      <w:r w:rsidR="00E06028">
        <w:rPr>
          <w:rFonts w:cs="Noto Sans"/>
          <w:szCs w:val="18"/>
        </w:rPr>
        <w:t>junio</w:t>
      </w:r>
      <w:r w:rsidR="00E06028" w:rsidRPr="002B3F78">
        <w:rPr>
          <w:rFonts w:cs="Noto Sans"/>
          <w:szCs w:val="18"/>
        </w:rPr>
        <w:t xml:space="preserve"> </w:t>
      </w:r>
      <w:r w:rsidR="00E35210" w:rsidRPr="000F4D76">
        <w:rPr>
          <w:rFonts w:cs="Noto Sans"/>
          <w:szCs w:val="18"/>
        </w:rPr>
        <w:t>de 2025 y 31 de diciembre de 2024</w:t>
      </w:r>
      <w:r w:rsidR="00CD5001" w:rsidRPr="00CD5001">
        <w:t>, el rubro de Deudores Diversos se integra como sigue:</w:t>
      </w:r>
    </w:p>
    <w:p w14:paraId="65BF429B" w14:textId="77777777" w:rsidR="00CD5001" w:rsidRDefault="00CD5001" w:rsidP="008D6A0A">
      <w:pPr>
        <w:pStyle w:val="TEXTONORMAL"/>
        <w:spacing w:before="240"/>
        <w:ind w:left="714" w:hanging="357"/>
        <w:jc w:val="left"/>
        <w:rPr>
          <w:rFonts w:cs="Noto Sans"/>
          <w:b/>
          <w:sz w:val="22"/>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CD5001" w:rsidRPr="005946C5" w14:paraId="58455D1F"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56B211A"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29E1D8C2"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D5001" w:rsidRPr="005946C5" w14:paraId="6AA9E859"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8125583"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26767F7" w14:textId="535BB786"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40C65CC" w14:textId="33AA4CDC"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02C5D" w:rsidRPr="005946C5" w14:paraId="59AD210C"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134382BD" w14:textId="4EBAF7DE" w:rsidR="00202C5D" w:rsidRPr="000B0DE6" w:rsidRDefault="00202C5D" w:rsidP="00202C5D">
            <w:pPr>
              <w:spacing w:after="0" w:line="240" w:lineRule="auto"/>
              <w:rPr>
                <w:rFonts w:ascii="Noto Sans" w:hAnsi="Noto Sans" w:cs="Noto Sans"/>
                <w:color w:val="000000"/>
                <w:sz w:val="15"/>
                <w:szCs w:val="15"/>
              </w:rPr>
            </w:pPr>
            <w:r>
              <w:rPr>
                <w:rFonts w:ascii="Noto Sans" w:hAnsi="Noto Sans" w:cs="Noto Sans"/>
                <w:color w:val="000000"/>
                <w:sz w:val="15"/>
                <w:szCs w:val="15"/>
              </w:rPr>
              <w:t>Deudores Nómina RJP</w:t>
            </w:r>
          </w:p>
        </w:tc>
        <w:tc>
          <w:tcPr>
            <w:tcW w:w="1960" w:type="dxa"/>
            <w:tcBorders>
              <w:top w:val="triple" w:sz="12" w:space="0" w:color="A6802D"/>
              <w:left w:val="nil"/>
              <w:bottom w:val="nil"/>
              <w:right w:val="nil"/>
            </w:tcBorders>
            <w:shd w:val="clear" w:color="000000" w:fill="F2F2F2"/>
            <w:vAlign w:val="center"/>
          </w:tcPr>
          <w:p w14:paraId="1FFB4F6C" w14:textId="40112F66"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24,271,521,778.3</w:t>
            </w:r>
          </w:p>
        </w:tc>
        <w:tc>
          <w:tcPr>
            <w:tcW w:w="1961" w:type="dxa"/>
            <w:tcBorders>
              <w:top w:val="triple" w:sz="12" w:space="0" w:color="A6802D"/>
              <w:left w:val="nil"/>
              <w:bottom w:val="nil"/>
              <w:right w:val="nil"/>
            </w:tcBorders>
            <w:shd w:val="clear" w:color="000000" w:fill="F2F2F2"/>
            <w:vAlign w:val="center"/>
          </w:tcPr>
          <w:p w14:paraId="0722B602" w14:textId="50E81F59"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10,650,968,313.8</w:t>
            </w:r>
          </w:p>
        </w:tc>
      </w:tr>
      <w:tr w:rsidR="00202C5D" w:rsidRPr="00FC0913" w14:paraId="3A30DB53" w14:textId="77777777" w:rsidTr="000B0DE6">
        <w:trPr>
          <w:trHeight w:val="283"/>
          <w:jc w:val="center"/>
        </w:trPr>
        <w:tc>
          <w:tcPr>
            <w:tcW w:w="5475" w:type="dxa"/>
            <w:tcBorders>
              <w:top w:val="nil"/>
              <w:left w:val="nil"/>
              <w:bottom w:val="nil"/>
              <w:right w:val="nil"/>
            </w:tcBorders>
            <w:shd w:val="clear" w:color="000000" w:fill="F2F2F2"/>
            <w:vAlign w:val="center"/>
          </w:tcPr>
          <w:p w14:paraId="61D9BDA5" w14:textId="7402D305" w:rsidR="00202C5D" w:rsidRPr="000B0DE6" w:rsidRDefault="00202C5D" w:rsidP="00202C5D">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Programa IMSS-Bienestar</w:t>
            </w:r>
          </w:p>
        </w:tc>
        <w:tc>
          <w:tcPr>
            <w:tcW w:w="1960" w:type="dxa"/>
            <w:tcBorders>
              <w:top w:val="nil"/>
              <w:left w:val="nil"/>
              <w:bottom w:val="nil"/>
              <w:right w:val="nil"/>
            </w:tcBorders>
            <w:shd w:val="clear" w:color="000000" w:fill="F2F2F2"/>
            <w:vAlign w:val="center"/>
          </w:tcPr>
          <w:p w14:paraId="794D5F8B" w14:textId="1175A38C"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7,446,772,834.0</w:t>
            </w:r>
          </w:p>
        </w:tc>
        <w:tc>
          <w:tcPr>
            <w:tcW w:w="1961" w:type="dxa"/>
            <w:tcBorders>
              <w:top w:val="nil"/>
              <w:left w:val="nil"/>
              <w:bottom w:val="nil"/>
              <w:right w:val="nil"/>
            </w:tcBorders>
            <w:shd w:val="clear" w:color="000000" w:fill="F2F2F2"/>
            <w:vAlign w:val="center"/>
          </w:tcPr>
          <w:p w14:paraId="28575A53" w14:textId="5ED13A06"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5,697,265,851.6</w:t>
            </w:r>
          </w:p>
        </w:tc>
      </w:tr>
      <w:tr w:rsidR="00202C5D" w:rsidRPr="00FC0913" w14:paraId="5C894E0D" w14:textId="77777777" w:rsidTr="000B0DE6">
        <w:trPr>
          <w:trHeight w:val="283"/>
          <w:jc w:val="center"/>
        </w:trPr>
        <w:tc>
          <w:tcPr>
            <w:tcW w:w="5475" w:type="dxa"/>
            <w:tcBorders>
              <w:top w:val="nil"/>
              <w:left w:val="nil"/>
              <w:bottom w:val="nil"/>
              <w:right w:val="nil"/>
            </w:tcBorders>
            <w:shd w:val="clear" w:color="000000" w:fill="F2F2F2"/>
            <w:vAlign w:val="center"/>
          </w:tcPr>
          <w:p w14:paraId="7F5AC954" w14:textId="12E6F86E" w:rsidR="00202C5D" w:rsidRPr="000B0DE6" w:rsidRDefault="00202C5D" w:rsidP="00202C5D">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Deudores por Otros Ingresos</w:t>
            </w:r>
          </w:p>
        </w:tc>
        <w:tc>
          <w:tcPr>
            <w:tcW w:w="1960" w:type="dxa"/>
            <w:tcBorders>
              <w:top w:val="nil"/>
              <w:left w:val="nil"/>
              <w:bottom w:val="nil"/>
              <w:right w:val="nil"/>
            </w:tcBorders>
            <w:shd w:val="clear" w:color="000000" w:fill="F2F2F2"/>
            <w:vAlign w:val="center"/>
          </w:tcPr>
          <w:p w14:paraId="58EA94F9" w14:textId="477F953F"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2,805,522,202.3</w:t>
            </w:r>
          </w:p>
        </w:tc>
        <w:tc>
          <w:tcPr>
            <w:tcW w:w="1961" w:type="dxa"/>
            <w:tcBorders>
              <w:top w:val="nil"/>
              <w:left w:val="nil"/>
              <w:bottom w:val="nil"/>
              <w:right w:val="nil"/>
            </w:tcBorders>
            <w:shd w:val="clear" w:color="000000" w:fill="F2F2F2"/>
            <w:vAlign w:val="center"/>
          </w:tcPr>
          <w:p w14:paraId="3A61FF3B" w14:textId="2ABE8ED1"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2,727,061,781.3</w:t>
            </w:r>
          </w:p>
        </w:tc>
      </w:tr>
      <w:tr w:rsidR="00202C5D" w:rsidRPr="00FC0913" w14:paraId="6330AB78" w14:textId="77777777" w:rsidTr="000B0DE6">
        <w:trPr>
          <w:trHeight w:val="283"/>
          <w:jc w:val="center"/>
        </w:trPr>
        <w:tc>
          <w:tcPr>
            <w:tcW w:w="5475" w:type="dxa"/>
            <w:tcBorders>
              <w:top w:val="nil"/>
              <w:left w:val="nil"/>
              <w:bottom w:val="nil"/>
              <w:right w:val="nil"/>
            </w:tcBorders>
            <w:shd w:val="clear" w:color="000000" w:fill="F2F2F2"/>
            <w:vAlign w:val="center"/>
          </w:tcPr>
          <w:p w14:paraId="76CEB092" w14:textId="2C989714" w:rsidR="00202C5D" w:rsidRPr="000B0DE6" w:rsidRDefault="00202C5D" w:rsidP="00202C5D">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Deudores de Personal </w:t>
            </w:r>
            <w:r>
              <w:rPr>
                <w:rFonts w:ascii="Noto Sans" w:hAnsi="Noto Sans" w:cs="Noto Sans"/>
                <w:b/>
                <w:bCs/>
                <w:color w:val="000000"/>
                <w:sz w:val="15"/>
                <w:szCs w:val="15"/>
              </w:rPr>
              <w:t>(3.2.c.1)</w:t>
            </w:r>
          </w:p>
        </w:tc>
        <w:tc>
          <w:tcPr>
            <w:tcW w:w="1960" w:type="dxa"/>
            <w:tcBorders>
              <w:top w:val="nil"/>
              <w:left w:val="nil"/>
              <w:bottom w:val="nil"/>
              <w:right w:val="nil"/>
            </w:tcBorders>
            <w:shd w:val="clear" w:color="000000" w:fill="F2F2F2"/>
            <w:vAlign w:val="center"/>
          </w:tcPr>
          <w:p w14:paraId="7258D643" w14:textId="2FDEC9EC"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1,966,141,346.6</w:t>
            </w:r>
          </w:p>
        </w:tc>
        <w:tc>
          <w:tcPr>
            <w:tcW w:w="1961" w:type="dxa"/>
            <w:tcBorders>
              <w:top w:val="nil"/>
              <w:left w:val="nil"/>
              <w:bottom w:val="nil"/>
              <w:right w:val="nil"/>
            </w:tcBorders>
            <w:shd w:val="clear" w:color="000000" w:fill="F2F2F2"/>
            <w:vAlign w:val="center"/>
          </w:tcPr>
          <w:p w14:paraId="5520B79B" w14:textId="35F1F192"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2,001,974,613.0</w:t>
            </w:r>
          </w:p>
        </w:tc>
      </w:tr>
      <w:tr w:rsidR="00202C5D" w:rsidRPr="00FC0913" w14:paraId="75CF7859" w14:textId="77777777" w:rsidTr="000B0DE6">
        <w:trPr>
          <w:trHeight w:val="283"/>
          <w:jc w:val="center"/>
        </w:trPr>
        <w:tc>
          <w:tcPr>
            <w:tcW w:w="5475" w:type="dxa"/>
            <w:tcBorders>
              <w:top w:val="nil"/>
              <w:left w:val="nil"/>
              <w:bottom w:val="nil"/>
              <w:right w:val="nil"/>
            </w:tcBorders>
            <w:shd w:val="clear" w:color="000000" w:fill="F2F2F2"/>
            <w:vAlign w:val="center"/>
          </w:tcPr>
          <w:p w14:paraId="5D2F0597" w14:textId="1CA03503" w:rsidR="00202C5D" w:rsidRPr="000B0DE6" w:rsidRDefault="00202C5D" w:rsidP="00202C5D">
            <w:pPr>
              <w:spacing w:after="0" w:line="240" w:lineRule="auto"/>
              <w:rPr>
                <w:rFonts w:ascii="Noto Sans" w:eastAsia="Times New Roman" w:hAnsi="Noto Sans" w:cs="Noto Sans"/>
                <w:color w:val="000000"/>
                <w:sz w:val="15"/>
                <w:szCs w:val="15"/>
                <w:lang w:val="es-ES" w:eastAsia="es-MX"/>
              </w:rPr>
            </w:pPr>
            <w:r>
              <w:rPr>
                <w:rFonts w:ascii="Noto Sans" w:hAnsi="Noto Sans" w:cs="Noto Sans"/>
                <w:color w:val="000000"/>
                <w:sz w:val="15"/>
                <w:szCs w:val="15"/>
              </w:rPr>
              <w:t xml:space="preserve">Deudores por Bienes de Consumo </w:t>
            </w:r>
          </w:p>
        </w:tc>
        <w:tc>
          <w:tcPr>
            <w:tcW w:w="1960" w:type="dxa"/>
            <w:tcBorders>
              <w:top w:val="nil"/>
              <w:left w:val="nil"/>
              <w:bottom w:val="nil"/>
              <w:right w:val="nil"/>
            </w:tcBorders>
            <w:shd w:val="clear" w:color="000000" w:fill="F2F2F2"/>
            <w:vAlign w:val="center"/>
          </w:tcPr>
          <w:p w14:paraId="6FF65A61" w14:textId="1F8F4C22"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331,970,745.5</w:t>
            </w:r>
          </w:p>
        </w:tc>
        <w:tc>
          <w:tcPr>
            <w:tcW w:w="1961" w:type="dxa"/>
            <w:tcBorders>
              <w:top w:val="nil"/>
              <w:left w:val="nil"/>
              <w:bottom w:val="nil"/>
              <w:right w:val="nil"/>
            </w:tcBorders>
            <w:shd w:val="clear" w:color="000000" w:fill="F2F2F2"/>
            <w:vAlign w:val="center"/>
          </w:tcPr>
          <w:p w14:paraId="58F623FD" w14:textId="653A6C34" w:rsidR="00202C5D" w:rsidRPr="000B0DE6" w:rsidRDefault="00202C5D" w:rsidP="00202C5D">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312,178,628.5</w:t>
            </w:r>
          </w:p>
        </w:tc>
      </w:tr>
      <w:tr w:rsidR="00202C5D" w:rsidRPr="00FC0913" w14:paraId="059C093B" w14:textId="77777777" w:rsidTr="000B0DE6">
        <w:trPr>
          <w:trHeight w:val="283"/>
          <w:jc w:val="center"/>
        </w:trPr>
        <w:tc>
          <w:tcPr>
            <w:tcW w:w="5475" w:type="dxa"/>
            <w:tcBorders>
              <w:top w:val="nil"/>
              <w:left w:val="nil"/>
              <w:bottom w:val="nil"/>
              <w:right w:val="nil"/>
            </w:tcBorders>
            <w:shd w:val="clear" w:color="000000" w:fill="F2F2F2"/>
            <w:vAlign w:val="center"/>
          </w:tcPr>
          <w:p w14:paraId="236F5394" w14:textId="2FAE6962" w:rsidR="00202C5D" w:rsidRDefault="00202C5D" w:rsidP="00202C5D">
            <w:pPr>
              <w:spacing w:after="0" w:line="240" w:lineRule="auto"/>
              <w:rPr>
                <w:rFonts w:ascii="Noto Sans" w:hAnsi="Noto Sans" w:cs="Noto Sans"/>
                <w:color w:val="000000"/>
                <w:sz w:val="15"/>
                <w:szCs w:val="15"/>
              </w:rPr>
            </w:pPr>
            <w:r>
              <w:rPr>
                <w:rFonts w:ascii="Noto Sans" w:hAnsi="Noto Sans" w:cs="Noto Sans"/>
                <w:color w:val="000000"/>
                <w:sz w:val="15"/>
                <w:szCs w:val="15"/>
              </w:rPr>
              <w:t xml:space="preserve">Deudores por Obligaciones Contractuales y Fiscales </w:t>
            </w:r>
            <w:r>
              <w:rPr>
                <w:rFonts w:ascii="Noto Sans" w:hAnsi="Noto Sans" w:cs="Noto Sans"/>
                <w:b/>
                <w:bCs/>
                <w:color w:val="000000"/>
                <w:sz w:val="15"/>
                <w:szCs w:val="15"/>
              </w:rPr>
              <w:t>(3.2.c.2)</w:t>
            </w:r>
            <w:r>
              <w:rPr>
                <w:rFonts w:ascii="Noto Sans" w:hAnsi="Noto Sans" w:cs="Noto Sans"/>
                <w:color w:val="000000"/>
                <w:sz w:val="15"/>
                <w:szCs w:val="15"/>
              </w:rPr>
              <w:t xml:space="preserve"> </w:t>
            </w:r>
          </w:p>
        </w:tc>
        <w:tc>
          <w:tcPr>
            <w:tcW w:w="1960" w:type="dxa"/>
            <w:tcBorders>
              <w:top w:val="nil"/>
              <w:left w:val="nil"/>
              <w:bottom w:val="nil"/>
              <w:right w:val="nil"/>
            </w:tcBorders>
            <w:shd w:val="clear" w:color="000000" w:fill="F2F2F2"/>
            <w:vAlign w:val="center"/>
          </w:tcPr>
          <w:p w14:paraId="00E60878" w14:textId="2BD67B13" w:rsidR="00202C5D" w:rsidRDefault="00202C5D" w:rsidP="00202C5D">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226,387,807.8</w:t>
            </w:r>
          </w:p>
        </w:tc>
        <w:tc>
          <w:tcPr>
            <w:tcW w:w="1961" w:type="dxa"/>
            <w:tcBorders>
              <w:top w:val="nil"/>
              <w:left w:val="nil"/>
              <w:bottom w:val="nil"/>
              <w:right w:val="nil"/>
            </w:tcBorders>
            <w:shd w:val="clear" w:color="000000" w:fill="F2F2F2"/>
            <w:vAlign w:val="center"/>
          </w:tcPr>
          <w:p w14:paraId="13DFA3CF" w14:textId="36F0C5B0" w:rsidR="00202C5D" w:rsidRDefault="00202C5D" w:rsidP="00202C5D">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271,179,443.0</w:t>
            </w:r>
          </w:p>
        </w:tc>
      </w:tr>
      <w:tr w:rsidR="00202C5D" w:rsidRPr="005946C5" w14:paraId="098CAD6D" w14:textId="77777777" w:rsidTr="000B0DE6">
        <w:trPr>
          <w:trHeight w:val="283"/>
          <w:jc w:val="center"/>
        </w:trPr>
        <w:tc>
          <w:tcPr>
            <w:tcW w:w="5475" w:type="dxa"/>
            <w:tcBorders>
              <w:top w:val="nil"/>
              <w:left w:val="nil"/>
              <w:right w:val="nil"/>
            </w:tcBorders>
            <w:shd w:val="clear" w:color="000000" w:fill="F2F2F2"/>
            <w:vAlign w:val="center"/>
          </w:tcPr>
          <w:p w14:paraId="3348ED90" w14:textId="11635F56" w:rsidR="00202C5D" w:rsidRPr="000B0DE6" w:rsidRDefault="00202C5D" w:rsidP="00202C5D">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Otros Deudores Diversos</w:t>
            </w:r>
          </w:p>
        </w:tc>
        <w:tc>
          <w:tcPr>
            <w:tcW w:w="1960" w:type="dxa"/>
            <w:tcBorders>
              <w:top w:val="nil"/>
              <w:left w:val="nil"/>
              <w:right w:val="nil"/>
            </w:tcBorders>
            <w:shd w:val="clear" w:color="000000" w:fill="F2F2F2"/>
            <w:vAlign w:val="center"/>
          </w:tcPr>
          <w:p w14:paraId="0FCE7147" w14:textId="4AE42C92" w:rsidR="00202C5D" w:rsidRPr="000B0DE6" w:rsidRDefault="00202C5D" w:rsidP="00202C5D">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6,804,176.5</w:t>
            </w:r>
          </w:p>
        </w:tc>
        <w:tc>
          <w:tcPr>
            <w:tcW w:w="1961" w:type="dxa"/>
            <w:tcBorders>
              <w:top w:val="nil"/>
              <w:left w:val="nil"/>
              <w:right w:val="nil"/>
            </w:tcBorders>
            <w:shd w:val="clear" w:color="000000" w:fill="F2F2F2"/>
            <w:vAlign w:val="center"/>
          </w:tcPr>
          <w:p w14:paraId="7DDC5A99" w14:textId="279EA586" w:rsidR="00202C5D" w:rsidRPr="000B0DE6" w:rsidRDefault="00202C5D" w:rsidP="00202C5D">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7,679,613.4</w:t>
            </w:r>
          </w:p>
        </w:tc>
      </w:tr>
      <w:tr w:rsidR="00202C5D" w:rsidRPr="005946C5" w14:paraId="6FB20E27"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74E5DC3A" w14:textId="23428C24" w:rsidR="00202C5D" w:rsidRPr="000B0DE6" w:rsidRDefault="00202C5D" w:rsidP="00202C5D">
            <w:pPr>
              <w:spacing w:after="0" w:line="240" w:lineRule="auto"/>
              <w:rPr>
                <w:rFonts w:ascii="Noto Sans" w:eastAsia="Times New Roman" w:hAnsi="Noto Sans" w:cs="Noto Sans"/>
                <w:b/>
                <w:bCs/>
                <w:color w:val="000000"/>
                <w:sz w:val="15"/>
                <w:szCs w:val="15"/>
                <w:lang w:val="es-ES"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Deudores Diversos</w:t>
            </w:r>
          </w:p>
        </w:tc>
        <w:tc>
          <w:tcPr>
            <w:tcW w:w="1960" w:type="dxa"/>
            <w:tcBorders>
              <w:top w:val="nil"/>
              <w:left w:val="nil"/>
              <w:bottom w:val="single" w:sz="12" w:space="0" w:color="A6802D"/>
              <w:right w:val="nil"/>
            </w:tcBorders>
            <w:shd w:val="clear" w:color="000000" w:fill="F2F2F2"/>
            <w:vAlign w:val="center"/>
          </w:tcPr>
          <w:p w14:paraId="313E8EAA" w14:textId="0C0D6F11" w:rsidR="00202C5D" w:rsidRPr="000B0DE6" w:rsidRDefault="00202C5D" w:rsidP="00202C5D">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 xml:space="preserve">     37,055,120,891.0 </w:t>
            </w:r>
          </w:p>
        </w:tc>
        <w:tc>
          <w:tcPr>
            <w:tcW w:w="1961" w:type="dxa"/>
            <w:tcBorders>
              <w:top w:val="nil"/>
              <w:left w:val="nil"/>
              <w:bottom w:val="single" w:sz="12" w:space="0" w:color="A6802D"/>
              <w:right w:val="nil"/>
            </w:tcBorders>
            <w:shd w:val="clear" w:color="000000" w:fill="F2F2F2"/>
            <w:vAlign w:val="center"/>
          </w:tcPr>
          <w:p w14:paraId="47F3D152" w14:textId="2B313803" w:rsidR="00202C5D" w:rsidRPr="000B0DE6" w:rsidRDefault="00202C5D" w:rsidP="00202C5D">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21,668,308,244.6</w:t>
            </w:r>
          </w:p>
        </w:tc>
      </w:tr>
      <w:tr w:rsidR="00B956A6" w:rsidRPr="00274555" w14:paraId="058F4FDB" w14:textId="77777777" w:rsidTr="00B41080">
        <w:trPr>
          <w:trHeight w:val="226"/>
          <w:jc w:val="center"/>
        </w:trPr>
        <w:tc>
          <w:tcPr>
            <w:tcW w:w="5475" w:type="dxa"/>
            <w:tcBorders>
              <w:top w:val="single" w:sz="12" w:space="0" w:color="A6802D"/>
              <w:left w:val="nil"/>
              <w:right w:val="nil"/>
            </w:tcBorders>
            <w:vAlign w:val="center"/>
          </w:tcPr>
          <w:p w14:paraId="1CD5E66E" w14:textId="77777777" w:rsidR="00B956A6" w:rsidRPr="00274555" w:rsidRDefault="00B956A6" w:rsidP="00B956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54F5D1F7" w14:textId="77777777" w:rsidR="00B956A6" w:rsidRPr="00274555" w:rsidRDefault="00B956A6" w:rsidP="00B956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584DFEC" w14:textId="77777777" w:rsidR="00B956A6" w:rsidRPr="00274555" w:rsidRDefault="00B956A6" w:rsidP="00B956A6">
            <w:pPr>
              <w:spacing w:after="0" w:line="240" w:lineRule="auto"/>
              <w:jc w:val="both"/>
              <w:rPr>
                <w:rFonts w:ascii="Noto Sans" w:eastAsia="Times New Roman" w:hAnsi="Noto Sans" w:cs="Noto Sans"/>
                <w:b/>
                <w:bCs/>
                <w:color w:val="000000"/>
                <w:sz w:val="14"/>
                <w:szCs w:val="14"/>
                <w:lang w:eastAsia="es-MX"/>
              </w:rPr>
            </w:pPr>
          </w:p>
        </w:tc>
      </w:tr>
    </w:tbl>
    <w:p w14:paraId="65F7466B" w14:textId="77777777" w:rsidR="008D6A0A" w:rsidRDefault="008D6A0A" w:rsidP="006459B0">
      <w:pPr>
        <w:pStyle w:val="TEXTONORMAL"/>
        <w:spacing w:before="240"/>
        <w:jc w:val="left"/>
        <w:rPr>
          <w:rFonts w:cs="Noto Sans"/>
          <w:b/>
          <w:sz w:val="22"/>
        </w:rPr>
      </w:pPr>
    </w:p>
    <w:p w14:paraId="5A556A1C" w14:textId="64BA117E" w:rsidR="00CD5001" w:rsidRDefault="000B0DE6" w:rsidP="00ED1D2E">
      <w:pPr>
        <w:pStyle w:val="TEXTONORMAL"/>
        <w:numPr>
          <w:ilvl w:val="0"/>
          <w:numId w:val="14"/>
        </w:numPr>
        <w:ind w:left="998" w:hanging="284"/>
      </w:pPr>
      <w:r>
        <w:t>3</w:t>
      </w:r>
      <w:r w:rsidR="00CD5001" w:rsidRPr="00CE4A13">
        <w:t>.2.</w:t>
      </w:r>
      <w:r w:rsidR="00CD5001">
        <w:t>c</w:t>
      </w:r>
      <w:r w:rsidR="00CD5001" w:rsidRPr="00CE4A13">
        <w:t>.1)</w:t>
      </w:r>
      <w:r w:rsidR="00CD5001">
        <w:t xml:space="preserve"> De conformidad con el Contrato Colectivo de Trabajo (CCT), el Instituto proporciona a su personal facilidades para compra de bienes y servicios; así como, anticipos de sueldos, mediante descuentos que se realizan quincenalmente vía nómina. Dichas prestaciones tienen un esquema de otorgamiento y recuperación dinámico, toda vez que los préstamos vigentes se van liquidando y, a la vez se otorgan nuevos créditos, lo cual genera adeudos distintos a los iniciales, que se reflejan en los saldos. Al </w:t>
      </w:r>
      <w:r w:rsidR="002E196D" w:rsidRPr="002B3F78">
        <w:rPr>
          <w:rFonts w:cs="Noto Sans"/>
          <w:szCs w:val="18"/>
        </w:rPr>
        <w:t>3</w:t>
      </w:r>
      <w:r w:rsidR="002E196D">
        <w:rPr>
          <w:rFonts w:cs="Noto Sans"/>
          <w:szCs w:val="18"/>
        </w:rPr>
        <w:t>0</w:t>
      </w:r>
      <w:r w:rsidR="002E196D" w:rsidRPr="002B3F78">
        <w:rPr>
          <w:rFonts w:cs="Noto Sans"/>
          <w:szCs w:val="18"/>
        </w:rPr>
        <w:t xml:space="preserve"> de </w:t>
      </w:r>
      <w:r w:rsidR="002E196D">
        <w:rPr>
          <w:rFonts w:cs="Noto Sans"/>
          <w:szCs w:val="18"/>
        </w:rPr>
        <w:t>junio</w:t>
      </w:r>
      <w:r w:rsidR="002E196D" w:rsidRPr="002B3F78">
        <w:rPr>
          <w:rFonts w:cs="Noto Sans"/>
          <w:szCs w:val="18"/>
        </w:rPr>
        <w:t xml:space="preserve"> </w:t>
      </w:r>
      <w:r w:rsidR="0029052A">
        <w:t xml:space="preserve">de 2025 y al </w:t>
      </w:r>
      <w:r w:rsidR="00CD5001">
        <w:t>31 de diciembre de 2024, el Instituto consideró que la mayor parte de los adeudos del personal tendrán vencimiento en el corto plazo, por lo tanto, están contenidos en el activo circulante.</w:t>
      </w:r>
    </w:p>
    <w:p w14:paraId="19D49BF3" w14:textId="77777777" w:rsidR="00175589" w:rsidRDefault="008D6A0A" w:rsidP="008D6A0A">
      <w:pPr>
        <w:pStyle w:val="TEXTONORMAL"/>
        <w:ind w:left="998" w:hanging="284"/>
      </w:pPr>
      <w:r>
        <w:t xml:space="preserve">      </w:t>
      </w:r>
      <w:r w:rsidR="00CD5001">
        <w:t>En relación con los saldos estáticos identificados, estos obedecen a situaciones de condición laboral particular de algunos trabajadores, como pueden ser juicios laborales, pérdida de la libertad, bajas no definitivas por incapacidades, desaparición de trabajadores y licencias mayores, entre otros.</w:t>
      </w:r>
    </w:p>
    <w:p w14:paraId="0B7B6251" w14:textId="77777777" w:rsidR="00DD62C4" w:rsidRDefault="00DD62C4" w:rsidP="008D6A0A">
      <w:pPr>
        <w:pStyle w:val="TEXTONORMAL"/>
        <w:ind w:left="998" w:hanging="284"/>
      </w:pPr>
    </w:p>
    <w:p w14:paraId="0C6F82B6" w14:textId="6AD3C0F4" w:rsidR="00CD5001" w:rsidRDefault="000B0DE6" w:rsidP="00ED1D2E">
      <w:pPr>
        <w:pStyle w:val="TEXTONORMAL"/>
        <w:numPr>
          <w:ilvl w:val="0"/>
          <w:numId w:val="14"/>
        </w:numPr>
        <w:ind w:left="998" w:hanging="284"/>
      </w:pPr>
      <w:r>
        <w:lastRenderedPageBreak/>
        <w:t>3</w:t>
      </w:r>
      <w:r w:rsidR="00CD5001" w:rsidRPr="00CE4A13">
        <w:t>.2.</w:t>
      </w:r>
      <w:r w:rsidR="00CD5001">
        <w:t>c</w:t>
      </w:r>
      <w:r w:rsidR="00CD5001" w:rsidRPr="00CE4A13">
        <w:t>.</w:t>
      </w:r>
      <w:r w:rsidR="00CD5001">
        <w:t>2</w:t>
      </w:r>
      <w:r w:rsidR="00CD5001" w:rsidRPr="00CE4A13">
        <w:t>)</w:t>
      </w:r>
      <w:r w:rsidR="00CD5001">
        <w:t xml:space="preserve"> </w:t>
      </w:r>
      <w:r w:rsidR="0029052A">
        <w:t xml:space="preserve">Al </w:t>
      </w:r>
      <w:r w:rsidR="00406279" w:rsidRPr="002B3F78">
        <w:rPr>
          <w:rFonts w:cs="Noto Sans"/>
          <w:szCs w:val="18"/>
        </w:rPr>
        <w:t>3</w:t>
      </w:r>
      <w:r w:rsidR="00406279">
        <w:rPr>
          <w:rFonts w:cs="Noto Sans"/>
          <w:szCs w:val="18"/>
        </w:rPr>
        <w:t>0</w:t>
      </w:r>
      <w:r w:rsidR="00406279" w:rsidRPr="002B3F78">
        <w:rPr>
          <w:rFonts w:cs="Noto Sans"/>
          <w:szCs w:val="18"/>
        </w:rPr>
        <w:t xml:space="preserve"> de </w:t>
      </w:r>
      <w:r w:rsidR="00406279">
        <w:rPr>
          <w:rFonts w:cs="Noto Sans"/>
          <w:szCs w:val="18"/>
        </w:rPr>
        <w:t>junio</w:t>
      </w:r>
      <w:r w:rsidR="00406279" w:rsidRPr="002B3F78">
        <w:rPr>
          <w:rFonts w:cs="Noto Sans"/>
          <w:szCs w:val="18"/>
        </w:rPr>
        <w:t xml:space="preserve"> </w:t>
      </w:r>
      <w:r w:rsidR="0029052A">
        <w:t>de 2025 y al 31 de diciembre de 2024</w:t>
      </w:r>
      <w:r w:rsidR="00CD5001">
        <w:t xml:space="preserve">, el Instituto presenta un importe pendiente de recuperar por </w:t>
      </w:r>
      <w:r w:rsidR="0029052A">
        <w:t>226,</w:t>
      </w:r>
      <w:r w:rsidR="004D5088">
        <w:t>387</w:t>
      </w:r>
      <w:r w:rsidR="0029052A">
        <w:t>,</w:t>
      </w:r>
      <w:r w:rsidR="004D5088">
        <w:t>807</w:t>
      </w:r>
      <w:r w:rsidR="0029052A">
        <w:t>.</w:t>
      </w:r>
      <w:r w:rsidR="004D5088">
        <w:t>8</w:t>
      </w:r>
      <w:r w:rsidR="00CD5001">
        <w:t xml:space="preserve"> pesos y </w:t>
      </w:r>
      <w:r w:rsidR="0029052A">
        <w:t xml:space="preserve">271,179,443.0 </w:t>
      </w:r>
      <w:r w:rsidR="00CD5001">
        <w:t xml:space="preserve">pesos, respectivamente, cuyo saldo tiene una antigüedad mayor a 5 años. Al respecto, el Instituto registró una estimación de cobro dudoso, tomando en consideración la antigüedad del saldo y el estatus de </w:t>
      </w:r>
      <w:r w:rsidR="0081738F">
        <w:t>estos</w:t>
      </w:r>
      <w:r w:rsidR="00CD5001">
        <w:t xml:space="preserve"> para su recuperación.</w:t>
      </w:r>
    </w:p>
    <w:p w14:paraId="2CF633E5" w14:textId="36DC5BF2" w:rsidR="00CD5001" w:rsidRDefault="008D6A0A" w:rsidP="008D6A0A">
      <w:pPr>
        <w:pStyle w:val="TEXTONORMAL"/>
        <w:ind w:left="998" w:hanging="284"/>
      </w:pPr>
      <w:r>
        <w:t xml:space="preserve">      </w:t>
      </w:r>
      <w:r w:rsidR="00CD5001">
        <w:t>Para los saldos con antigüedad mayor a 5 años, en los que exista falta de la documentación que acredite el adeudo y que haga inviable la interposición de acciones de tipo judicial, o por incosteabilidad del asunto, tomando en cuenta el costo beneficio del negocio, se llevarán a cabo las acciones correspondientes para cancelar dicho saldo, de conformidad con lo establecido en las “Normas y Bases de Operación para la Cancelación de Adeudos No Fiscales Incobrables”, aprobadas por acuerdo 535/2001 del H. Consejo Técnico del Instituto.</w:t>
      </w:r>
    </w:p>
    <w:p w14:paraId="7C319F5F" w14:textId="77777777" w:rsidR="00175589" w:rsidRPr="00CD5001" w:rsidRDefault="00175589" w:rsidP="008D6A0A">
      <w:pPr>
        <w:pStyle w:val="TEXTONORMAL"/>
        <w:ind w:left="998" w:hanging="284"/>
      </w:pPr>
    </w:p>
    <w:p w14:paraId="16BBEEC8" w14:textId="75BDB733" w:rsidR="00175589" w:rsidRPr="000B0DE6" w:rsidRDefault="000B0DE6" w:rsidP="00ED1D2E">
      <w:pPr>
        <w:pStyle w:val="TEXTONORMAL"/>
        <w:numPr>
          <w:ilvl w:val="0"/>
          <w:numId w:val="12"/>
        </w:numPr>
        <w:ind w:left="714" w:hanging="357"/>
        <w:jc w:val="left"/>
        <w:rPr>
          <w:rFonts w:cs="Noto Sans"/>
          <w:b/>
          <w:sz w:val="22"/>
        </w:rPr>
      </w:pPr>
      <w:r>
        <w:t>3</w:t>
      </w:r>
      <w:r w:rsidR="00CD5001">
        <w:t xml:space="preserve">.2.d) </w:t>
      </w:r>
      <w:r w:rsidR="00E35210">
        <w:rPr>
          <w:rFonts w:cs="Noto Sans"/>
          <w:szCs w:val="18"/>
        </w:rPr>
        <w:t>A</w:t>
      </w:r>
      <w:r w:rsidR="00E35210" w:rsidRPr="000F4D76">
        <w:rPr>
          <w:rFonts w:cs="Noto Sans"/>
          <w:szCs w:val="18"/>
        </w:rPr>
        <w:t xml:space="preserve">l </w:t>
      </w:r>
      <w:r w:rsidR="000E5E7A" w:rsidRPr="002B3F78">
        <w:rPr>
          <w:rFonts w:cs="Noto Sans"/>
          <w:szCs w:val="18"/>
        </w:rPr>
        <w:t>3</w:t>
      </w:r>
      <w:r w:rsidR="000E5E7A">
        <w:rPr>
          <w:rFonts w:cs="Noto Sans"/>
          <w:szCs w:val="18"/>
        </w:rPr>
        <w:t>0</w:t>
      </w:r>
      <w:r w:rsidR="000E5E7A" w:rsidRPr="002B3F78">
        <w:rPr>
          <w:rFonts w:cs="Noto Sans"/>
          <w:szCs w:val="18"/>
        </w:rPr>
        <w:t xml:space="preserve"> de </w:t>
      </w:r>
      <w:r w:rsidR="000E5E7A">
        <w:rPr>
          <w:rFonts w:cs="Noto Sans"/>
          <w:szCs w:val="18"/>
        </w:rPr>
        <w:t>junio</w:t>
      </w:r>
      <w:r w:rsidR="000E5E7A" w:rsidRPr="002B3F78">
        <w:rPr>
          <w:rFonts w:cs="Noto Sans"/>
          <w:szCs w:val="18"/>
        </w:rPr>
        <w:t xml:space="preserve"> </w:t>
      </w:r>
      <w:r w:rsidR="00E35210" w:rsidRPr="000F4D76">
        <w:rPr>
          <w:rFonts w:cs="Noto Sans"/>
          <w:szCs w:val="18"/>
        </w:rPr>
        <w:t xml:space="preserve">de 2025 y 31 de diciembre de 2024 </w:t>
      </w:r>
      <w:r w:rsidR="00CD5001" w:rsidRPr="00CD5001">
        <w:t>las Cuentas por Cobrar se integran como sigue:</w:t>
      </w:r>
    </w:p>
    <w:p w14:paraId="42C43E74" w14:textId="77777777" w:rsidR="000B0DE6" w:rsidRPr="008D6A0A" w:rsidRDefault="000B0DE6" w:rsidP="000B0DE6">
      <w:pPr>
        <w:pStyle w:val="TEXTONORMAL"/>
        <w:ind w:left="714"/>
        <w:jc w:val="left"/>
        <w:rPr>
          <w:rFonts w:cs="Noto Sans"/>
          <w:b/>
          <w:sz w:val="22"/>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CD5001" w:rsidRPr="005946C5" w14:paraId="7760E2FB"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D9CD323"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45CCE3E"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D5001" w:rsidRPr="005946C5" w14:paraId="15E27848"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AF0BBCE" w14:textId="77777777" w:rsidR="00CD5001" w:rsidRPr="008E629A" w:rsidRDefault="00CD5001"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061BB28" w14:textId="1669F8B3"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055C7E6" w14:textId="23C0A078" w:rsidR="00CD5001" w:rsidRPr="008E629A" w:rsidRDefault="00AD178D"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ED1015" w:rsidRPr="005946C5" w14:paraId="678D204C"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2C2D1EB3" w14:textId="66E1210E" w:rsidR="00ED1015" w:rsidRPr="000B0DE6" w:rsidRDefault="00ED1015" w:rsidP="00ED101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Costos Operativos por la Administración de Pensiones</w:t>
            </w:r>
          </w:p>
        </w:tc>
        <w:tc>
          <w:tcPr>
            <w:tcW w:w="1960" w:type="dxa"/>
            <w:tcBorders>
              <w:top w:val="triple" w:sz="12" w:space="0" w:color="A6802D"/>
              <w:left w:val="nil"/>
              <w:bottom w:val="nil"/>
              <w:right w:val="nil"/>
            </w:tcBorders>
            <w:shd w:val="clear" w:color="000000" w:fill="F2F2F2"/>
            <w:vAlign w:val="center"/>
          </w:tcPr>
          <w:p w14:paraId="59FF89E0" w14:textId="327C2081" w:rsidR="00ED1015" w:rsidRPr="000B0DE6" w:rsidRDefault="002F5B5A" w:rsidP="00ED1015">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2,056,344,334.4</w:t>
            </w:r>
          </w:p>
        </w:tc>
        <w:tc>
          <w:tcPr>
            <w:tcW w:w="1961" w:type="dxa"/>
            <w:tcBorders>
              <w:top w:val="triple" w:sz="12" w:space="0" w:color="A6802D"/>
              <w:left w:val="nil"/>
              <w:bottom w:val="nil"/>
              <w:right w:val="nil"/>
            </w:tcBorders>
            <w:shd w:val="clear" w:color="000000" w:fill="F2F2F2"/>
            <w:vAlign w:val="center"/>
          </w:tcPr>
          <w:p w14:paraId="3B592FD7" w14:textId="5E9C19FF" w:rsidR="00ED1015" w:rsidRPr="000B0DE6" w:rsidRDefault="00ED1015" w:rsidP="00ED101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1,627,863,074.0</w:t>
            </w:r>
          </w:p>
        </w:tc>
      </w:tr>
      <w:tr w:rsidR="00ED1015" w:rsidRPr="00FC0913" w14:paraId="20B8AD8B" w14:textId="77777777" w:rsidTr="000B0DE6">
        <w:trPr>
          <w:trHeight w:val="283"/>
          <w:jc w:val="center"/>
        </w:trPr>
        <w:tc>
          <w:tcPr>
            <w:tcW w:w="5475" w:type="dxa"/>
            <w:tcBorders>
              <w:top w:val="nil"/>
              <w:left w:val="nil"/>
              <w:bottom w:val="nil"/>
              <w:right w:val="nil"/>
            </w:tcBorders>
            <w:shd w:val="clear" w:color="000000" w:fill="F2F2F2"/>
            <w:vAlign w:val="center"/>
          </w:tcPr>
          <w:p w14:paraId="2C1CF19B" w14:textId="422147B0" w:rsidR="00ED1015" w:rsidRPr="000B0DE6" w:rsidRDefault="00ED1015" w:rsidP="00ED1015">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Otras Cuentas por Cobrar</w:t>
            </w:r>
          </w:p>
        </w:tc>
        <w:tc>
          <w:tcPr>
            <w:tcW w:w="1960" w:type="dxa"/>
            <w:tcBorders>
              <w:top w:val="nil"/>
              <w:left w:val="nil"/>
              <w:bottom w:val="nil"/>
              <w:right w:val="nil"/>
            </w:tcBorders>
            <w:shd w:val="clear" w:color="000000" w:fill="F2F2F2"/>
            <w:vAlign w:val="center"/>
          </w:tcPr>
          <w:p w14:paraId="6D6D93A8" w14:textId="7BCAF0A1" w:rsidR="00ED1015" w:rsidRPr="000B0DE6" w:rsidRDefault="002F5B5A" w:rsidP="00ED1015">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1,694,869,982.</w:t>
            </w:r>
            <w:r w:rsidR="00FC4D12">
              <w:rPr>
                <w:rFonts w:ascii="Noto Sans" w:eastAsia="Times New Roman" w:hAnsi="Noto Sans" w:cs="Noto Sans"/>
                <w:color w:val="000000"/>
                <w:sz w:val="15"/>
                <w:szCs w:val="15"/>
                <w:lang w:eastAsia="es-MX"/>
              </w:rPr>
              <w:t>4</w:t>
            </w:r>
          </w:p>
        </w:tc>
        <w:tc>
          <w:tcPr>
            <w:tcW w:w="1961" w:type="dxa"/>
            <w:tcBorders>
              <w:top w:val="nil"/>
              <w:left w:val="nil"/>
              <w:bottom w:val="nil"/>
              <w:right w:val="nil"/>
            </w:tcBorders>
            <w:shd w:val="clear" w:color="000000" w:fill="F2F2F2"/>
            <w:vAlign w:val="center"/>
          </w:tcPr>
          <w:p w14:paraId="1FC697C2" w14:textId="654AA909" w:rsidR="00ED1015" w:rsidRPr="000B0DE6" w:rsidRDefault="00ED1015" w:rsidP="00ED101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1,655,493,267.9</w:t>
            </w:r>
          </w:p>
        </w:tc>
      </w:tr>
      <w:tr w:rsidR="00FB0200" w:rsidRPr="005946C5" w14:paraId="39536602"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1B700F41" w14:textId="0A245257" w:rsidR="00FB0200" w:rsidRPr="000B0DE6" w:rsidRDefault="00FB0200">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Cuentas por Cobrar</w:t>
            </w:r>
          </w:p>
        </w:tc>
        <w:tc>
          <w:tcPr>
            <w:tcW w:w="1960" w:type="dxa"/>
            <w:tcBorders>
              <w:top w:val="nil"/>
              <w:left w:val="nil"/>
              <w:bottom w:val="single" w:sz="12" w:space="0" w:color="A6802D"/>
              <w:right w:val="nil"/>
            </w:tcBorders>
            <w:shd w:val="clear" w:color="000000" w:fill="F2F2F2"/>
            <w:vAlign w:val="center"/>
          </w:tcPr>
          <w:p w14:paraId="3505F9F8" w14:textId="68D80FA1"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w:t>
            </w:r>
            <w:r w:rsidR="002F5B5A">
              <w:rPr>
                <w:rFonts w:ascii="Noto Sans" w:hAnsi="Noto Sans" w:cs="Noto Sans"/>
                <w:b/>
                <w:bCs/>
                <w:color w:val="000000"/>
                <w:sz w:val="15"/>
                <w:szCs w:val="15"/>
              </w:rPr>
              <w:t>751</w:t>
            </w:r>
            <w:r>
              <w:rPr>
                <w:rFonts w:ascii="Noto Sans" w:hAnsi="Noto Sans" w:cs="Noto Sans"/>
                <w:b/>
                <w:bCs/>
                <w:color w:val="000000"/>
                <w:sz w:val="15"/>
                <w:szCs w:val="15"/>
              </w:rPr>
              <w:t>,</w:t>
            </w:r>
            <w:r w:rsidR="002F5B5A">
              <w:rPr>
                <w:rFonts w:ascii="Noto Sans" w:hAnsi="Noto Sans" w:cs="Noto Sans"/>
                <w:b/>
                <w:bCs/>
                <w:color w:val="000000"/>
                <w:sz w:val="15"/>
                <w:szCs w:val="15"/>
              </w:rPr>
              <w:t>214</w:t>
            </w:r>
            <w:r>
              <w:rPr>
                <w:rFonts w:ascii="Noto Sans" w:hAnsi="Noto Sans" w:cs="Noto Sans"/>
                <w:b/>
                <w:bCs/>
                <w:color w:val="000000"/>
                <w:sz w:val="15"/>
                <w:szCs w:val="15"/>
              </w:rPr>
              <w:t>,</w:t>
            </w:r>
            <w:r w:rsidR="002F5B5A">
              <w:rPr>
                <w:rFonts w:ascii="Noto Sans" w:hAnsi="Noto Sans" w:cs="Noto Sans"/>
                <w:b/>
                <w:bCs/>
                <w:color w:val="000000"/>
                <w:sz w:val="15"/>
                <w:szCs w:val="15"/>
              </w:rPr>
              <w:t>316</w:t>
            </w:r>
            <w:r>
              <w:rPr>
                <w:rFonts w:ascii="Noto Sans" w:hAnsi="Noto Sans" w:cs="Noto Sans"/>
                <w:b/>
                <w:bCs/>
                <w:color w:val="000000"/>
                <w:sz w:val="15"/>
                <w:szCs w:val="15"/>
              </w:rPr>
              <w:t>.</w:t>
            </w:r>
            <w:r w:rsidR="00FC4D12">
              <w:rPr>
                <w:rFonts w:ascii="Noto Sans" w:hAnsi="Noto Sans" w:cs="Noto Sans"/>
                <w:b/>
                <w:bCs/>
                <w:color w:val="000000"/>
                <w:sz w:val="15"/>
                <w:szCs w:val="15"/>
              </w:rPr>
              <w:t>8</w:t>
            </w:r>
          </w:p>
        </w:tc>
        <w:tc>
          <w:tcPr>
            <w:tcW w:w="1961" w:type="dxa"/>
            <w:tcBorders>
              <w:top w:val="nil"/>
              <w:left w:val="nil"/>
              <w:bottom w:val="single" w:sz="12" w:space="0" w:color="A6802D"/>
              <w:right w:val="nil"/>
            </w:tcBorders>
            <w:shd w:val="clear" w:color="000000" w:fill="F2F2F2"/>
            <w:vAlign w:val="center"/>
          </w:tcPr>
          <w:p w14:paraId="41537244" w14:textId="7D32C618"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3,283,356,341.9</w:t>
            </w:r>
          </w:p>
        </w:tc>
      </w:tr>
      <w:tr w:rsidR="00CD5001" w:rsidRPr="00274555" w14:paraId="5A572B98" w14:textId="77777777" w:rsidTr="00B41080">
        <w:trPr>
          <w:trHeight w:val="226"/>
          <w:jc w:val="center"/>
        </w:trPr>
        <w:tc>
          <w:tcPr>
            <w:tcW w:w="5475" w:type="dxa"/>
            <w:tcBorders>
              <w:top w:val="single" w:sz="12" w:space="0" w:color="A6802D"/>
              <w:left w:val="nil"/>
              <w:right w:val="nil"/>
            </w:tcBorders>
            <w:vAlign w:val="center"/>
          </w:tcPr>
          <w:p w14:paraId="4F7D2342" w14:textId="77777777" w:rsidR="00CD5001" w:rsidRPr="00274555" w:rsidRDefault="00CD5001"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EBE6E3A" w14:textId="77777777" w:rsidR="00CD5001" w:rsidRPr="00274555" w:rsidRDefault="00CD5001"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3A9752FB" w14:textId="77777777" w:rsidR="00CD5001" w:rsidRPr="00274555" w:rsidRDefault="00CD5001" w:rsidP="00B41080">
            <w:pPr>
              <w:spacing w:after="0" w:line="240" w:lineRule="auto"/>
              <w:jc w:val="both"/>
              <w:rPr>
                <w:rFonts w:ascii="Noto Sans" w:eastAsia="Times New Roman" w:hAnsi="Noto Sans" w:cs="Noto Sans"/>
                <w:b/>
                <w:bCs/>
                <w:color w:val="000000"/>
                <w:sz w:val="14"/>
                <w:szCs w:val="14"/>
                <w:lang w:eastAsia="es-MX"/>
              </w:rPr>
            </w:pPr>
          </w:p>
        </w:tc>
      </w:tr>
    </w:tbl>
    <w:p w14:paraId="755E96B9" w14:textId="77777777" w:rsidR="000B0DE6" w:rsidRDefault="000B0DE6" w:rsidP="000B0DE6">
      <w:pPr>
        <w:pStyle w:val="TEXTONORMAL"/>
      </w:pPr>
    </w:p>
    <w:p w14:paraId="3BEC96C8" w14:textId="6D89E9F6" w:rsidR="008D6A0A" w:rsidRPr="008D6A0A" w:rsidRDefault="00D3754D" w:rsidP="00ED1D2E">
      <w:pPr>
        <w:pStyle w:val="TEXTONORMAL"/>
        <w:numPr>
          <w:ilvl w:val="0"/>
          <w:numId w:val="12"/>
        </w:numPr>
        <w:ind w:left="714" w:hanging="357"/>
        <w:rPr>
          <w:rFonts w:cs="Noto Sans"/>
          <w:b/>
          <w:sz w:val="22"/>
        </w:rPr>
      </w:pPr>
      <w:r>
        <w:t>3</w:t>
      </w:r>
      <w:r w:rsidR="008D6A0A">
        <w:t>.2.</w:t>
      </w:r>
      <w:r w:rsidR="00AC6B67">
        <w:t>e</w:t>
      </w:r>
      <w:r w:rsidR="008D6A0A">
        <w:t xml:space="preserve">) </w:t>
      </w:r>
      <w:r w:rsidR="00E35210">
        <w:rPr>
          <w:rFonts w:cs="Noto Sans"/>
          <w:szCs w:val="18"/>
        </w:rPr>
        <w:t>A</w:t>
      </w:r>
      <w:r w:rsidR="00E35210" w:rsidRPr="000F4D76">
        <w:rPr>
          <w:rFonts w:cs="Noto Sans"/>
          <w:szCs w:val="18"/>
        </w:rPr>
        <w:t xml:space="preserve">l </w:t>
      </w:r>
      <w:r w:rsidR="00F558A7" w:rsidRPr="002B3F78">
        <w:rPr>
          <w:rFonts w:cs="Noto Sans"/>
          <w:szCs w:val="18"/>
        </w:rPr>
        <w:t>3</w:t>
      </w:r>
      <w:r w:rsidR="00F558A7">
        <w:rPr>
          <w:rFonts w:cs="Noto Sans"/>
          <w:szCs w:val="18"/>
        </w:rPr>
        <w:t>0</w:t>
      </w:r>
      <w:r w:rsidR="00F558A7" w:rsidRPr="002B3F78">
        <w:rPr>
          <w:rFonts w:cs="Noto Sans"/>
          <w:szCs w:val="18"/>
        </w:rPr>
        <w:t xml:space="preserve"> de </w:t>
      </w:r>
      <w:r w:rsidR="00F558A7">
        <w:rPr>
          <w:rFonts w:cs="Noto Sans"/>
          <w:szCs w:val="18"/>
        </w:rPr>
        <w:t>junio</w:t>
      </w:r>
      <w:r w:rsidR="00F558A7" w:rsidRPr="002B3F78">
        <w:rPr>
          <w:rFonts w:cs="Noto Sans"/>
          <w:szCs w:val="18"/>
        </w:rPr>
        <w:t xml:space="preserve"> </w:t>
      </w:r>
      <w:r w:rsidR="00E35210" w:rsidRPr="000F4D76">
        <w:rPr>
          <w:rFonts w:cs="Noto Sans"/>
          <w:szCs w:val="18"/>
        </w:rPr>
        <w:t>de 2025 y 31 de diciembre de 2024</w:t>
      </w:r>
      <w:r w:rsidR="008D6A0A" w:rsidRPr="008D6A0A">
        <w:t>, el rubro de Otros Derechos a Recibir Efectivo o Equivalentes se integra como sigue:</w:t>
      </w:r>
    </w:p>
    <w:p w14:paraId="7E614F4B" w14:textId="77777777" w:rsidR="008D6A0A" w:rsidRPr="008D6A0A" w:rsidRDefault="008D6A0A" w:rsidP="008D6A0A">
      <w:pPr>
        <w:pStyle w:val="TEXTONORMAL"/>
        <w:ind w:left="720"/>
        <w:jc w:val="left"/>
        <w:rPr>
          <w:rFonts w:cs="Noto Sans"/>
          <w:b/>
          <w:sz w:val="22"/>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8D6A0A" w:rsidRPr="005946C5" w14:paraId="6CE4C2A6"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62BEBE0" w14:textId="77777777" w:rsidR="008D6A0A" w:rsidRPr="008E629A" w:rsidRDefault="008D6A0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E04E57E" w14:textId="77777777" w:rsidR="008D6A0A" w:rsidRPr="008E629A" w:rsidRDefault="008D6A0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8D6A0A" w:rsidRPr="005946C5" w14:paraId="19425B05"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1F0C5D22" w14:textId="77777777" w:rsidR="008D6A0A" w:rsidRPr="008E629A" w:rsidRDefault="008D6A0A"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85D9A86" w14:textId="44387233" w:rsidR="008D6A0A"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79FDD0DB" w14:textId="6DC341C5" w:rsidR="008D6A0A"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C3088" w:rsidRPr="005946C5" w14:paraId="057C2CE5"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21AA933A" w14:textId="199CEDF6" w:rsidR="002C3088" w:rsidRPr="000B0DE6" w:rsidRDefault="002C3088" w:rsidP="002C308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Impuestos Acreditables</w:t>
            </w:r>
          </w:p>
        </w:tc>
        <w:tc>
          <w:tcPr>
            <w:tcW w:w="1960" w:type="dxa"/>
            <w:tcBorders>
              <w:top w:val="triple" w:sz="12" w:space="0" w:color="A6802D"/>
              <w:left w:val="nil"/>
              <w:bottom w:val="nil"/>
              <w:right w:val="nil"/>
            </w:tcBorders>
            <w:shd w:val="clear" w:color="000000" w:fill="F2F2F2"/>
            <w:vAlign w:val="center"/>
          </w:tcPr>
          <w:p w14:paraId="27DEEBB1" w14:textId="00A4E5F2" w:rsidR="002C3088" w:rsidRPr="000B0DE6" w:rsidRDefault="002C3088" w:rsidP="002C308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w:t>
            </w:r>
            <w:r w:rsidR="00141F71">
              <w:rPr>
                <w:rFonts w:ascii="Noto Sans" w:hAnsi="Noto Sans" w:cs="Noto Sans"/>
                <w:color w:val="000000"/>
                <w:sz w:val="15"/>
                <w:szCs w:val="15"/>
              </w:rPr>
              <w:t>3</w:t>
            </w:r>
            <w:r>
              <w:rPr>
                <w:rFonts w:ascii="Noto Sans" w:hAnsi="Noto Sans" w:cs="Noto Sans"/>
                <w:color w:val="000000"/>
                <w:sz w:val="15"/>
                <w:szCs w:val="15"/>
              </w:rPr>
              <w:t>,</w:t>
            </w:r>
            <w:r w:rsidR="00141F71">
              <w:rPr>
                <w:rFonts w:ascii="Noto Sans" w:hAnsi="Noto Sans" w:cs="Noto Sans"/>
                <w:color w:val="000000"/>
                <w:sz w:val="15"/>
                <w:szCs w:val="15"/>
              </w:rPr>
              <w:t>786</w:t>
            </w:r>
            <w:r>
              <w:rPr>
                <w:rFonts w:ascii="Noto Sans" w:hAnsi="Noto Sans" w:cs="Noto Sans"/>
                <w:color w:val="000000"/>
                <w:sz w:val="15"/>
                <w:szCs w:val="15"/>
              </w:rPr>
              <w:t>,</w:t>
            </w:r>
            <w:r w:rsidR="00141F71">
              <w:rPr>
                <w:rFonts w:ascii="Noto Sans" w:hAnsi="Noto Sans" w:cs="Noto Sans"/>
                <w:color w:val="000000"/>
                <w:sz w:val="15"/>
                <w:szCs w:val="15"/>
              </w:rPr>
              <w:t>138</w:t>
            </w:r>
            <w:r>
              <w:rPr>
                <w:rFonts w:ascii="Noto Sans" w:hAnsi="Noto Sans" w:cs="Noto Sans"/>
                <w:color w:val="000000"/>
                <w:sz w:val="15"/>
                <w:szCs w:val="15"/>
              </w:rPr>
              <w:t xml:space="preserve">.1 </w:t>
            </w:r>
          </w:p>
        </w:tc>
        <w:tc>
          <w:tcPr>
            <w:tcW w:w="1961" w:type="dxa"/>
            <w:tcBorders>
              <w:top w:val="triple" w:sz="12" w:space="0" w:color="A6802D"/>
              <w:left w:val="nil"/>
              <w:bottom w:val="nil"/>
              <w:right w:val="nil"/>
            </w:tcBorders>
            <w:shd w:val="clear" w:color="000000" w:fill="F2F2F2"/>
            <w:vAlign w:val="center"/>
          </w:tcPr>
          <w:p w14:paraId="2E04B40D" w14:textId="0A91D3CA" w:rsidR="002C3088" w:rsidRPr="000B0DE6" w:rsidRDefault="002C3088" w:rsidP="002C308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12,734,633.3</w:t>
            </w:r>
          </w:p>
        </w:tc>
      </w:tr>
      <w:tr w:rsidR="002C3088" w:rsidRPr="00FC0913" w14:paraId="2778AB2E" w14:textId="77777777" w:rsidTr="000B0DE6">
        <w:trPr>
          <w:trHeight w:val="283"/>
          <w:jc w:val="center"/>
        </w:trPr>
        <w:tc>
          <w:tcPr>
            <w:tcW w:w="5475" w:type="dxa"/>
            <w:tcBorders>
              <w:top w:val="nil"/>
              <w:left w:val="nil"/>
              <w:bottom w:val="nil"/>
              <w:right w:val="nil"/>
            </w:tcBorders>
            <w:shd w:val="clear" w:color="000000" w:fill="F2F2F2"/>
            <w:vAlign w:val="center"/>
          </w:tcPr>
          <w:p w14:paraId="07D2FC53" w14:textId="3F7D4E76" w:rsidR="002C3088" w:rsidRPr="000B0DE6" w:rsidRDefault="002C3088" w:rsidP="002C308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Derechos</w:t>
            </w:r>
          </w:p>
        </w:tc>
        <w:tc>
          <w:tcPr>
            <w:tcW w:w="1960" w:type="dxa"/>
            <w:tcBorders>
              <w:top w:val="nil"/>
              <w:left w:val="nil"/>
              <w:bottom w:val="nil"/>
              <w:right w:val="nil"/>
            </w:tcBorders>
            <w:shd w:val="clear" w:color="000000" w:fill="F2F2F2"/>
            <w:vAlign w:val="center"/>
          </w:tcPr>
          <w:p w14:paraId="4426B94B" w14:textId="454C8627" w:rsidR="002C3088" w:rsidRPr="000B0DE6" w:rsidRDefault="00141F71" w:rsidP="002C308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380,513</w:t>
            </w:r>
            <w:r w:rsidR="002C3088">
              <w:rPr>
                <w:rFonts w:ascii="Noto Sans" w:hAnsi="Noto Sans" w:cs="Noto Sans"/>
                <w:color w:val="000000"/>
                <w:sz w:val="15"/>
                <w:szCs w:val="15"/>
              </w:rPr>
              <w:t>.0</w:t>
            </w:r>
          </w:p>
        </w:tc>
        <w:tc>
          <w:tcPr>
            <w:tcW w:w="1961" w:type="dxa"/>
            <w:tcBorders>
              <w:top w:val="nil"/>
              <w:left w:val="nil"/>
              <w:bottom w:val="nil"/>
              <w:right w:val="nil"/>
            </w:tcBorders>
            <w:shd w:val="clear" w:color="000000" w:fill="F2F2F2"/>
            <w:vAlign w:val="center"/>
          </w:tcPr>
          <w:p w14:paraId="1C9F547B" w14:textId="14625A49" w:rsidR="002C3088" w:rsidRPr="000B0DE6" w:rsidRDefault="002C3088" w:rsidP="002C308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628,848.5</w:t>
            </w:r>
          </w:p>
        </w:tc>
      </w:tr>
      <w:tr w:rsidR="002C3088" w:rsidRPr="005946C5" w14:paraId="5266D2E4"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5B4BDBE6" w14:textId="3B7A48B8" w:rsidR="002C3088" w:rsidRPr="000B0DE6" w:rsidRDefault="002C3088" w:rsidP="002C3088">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Derechos a Recibir Efectivo o Equivalentes </w:t>
            </w:r>
          </w:p>
        </w:tc>
        <w:tc>
          <w:tcPr>
            <w:tcW w:w="1960" w:type="dxa"/>
            <w:tcBorders>
              <w:top w:val="nil"/>
              <w:left w:val="nil"/>
              <w:bottom w:val="single" w:sz="12" w:space="0" w:color="A6802D"/>
              <w:right w:val="nil"/>
            </w:tcBorders>
            <w:shd w:val="clear" w:color="000000" w:fill="F2F2F2"/>
            <w:vAlign w:val="center"/>
          </w:tcPr>
          <w:p w14:paraId="083FFEBE" w14:textId="1820AAD2" w:rsidR="002C3088" w:rsidRPr="000B0DE6" w:rsidRDefault="002C3088" w:rsidP="002C308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14,166,651.1</w:t>
            </w:r>
          </w:p>
        </w:tc>
        <w:tc>
          <w:tcPr>
            <w:tcW w:w="1961" w:type="dxa"/>
            <w:tcBorders>
              <w:top w:val="nil"/>
              <w:left w:val="nil"/>
              <w:bottom w:val="single" w:sz="12" w:space="0" w:color="A6802D"/>
              <w:right w:val="nil"/>
            </w:tcBorders>
            <w:shd w:val="clear" w:color="000000" w:fill="F2F2F2"/>
            <w:vAlign w:val="center"/>
          </w:tcPr>
          <w:p w14:paraId="1A1C7FFD" w14:textId="74761DDE" w:rsidR="002C3088" w:rsidRPr="000B0DE6" w:rsidRDefault="002C3088" w:rsidP="002C308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13,363,481.8</w:t>
            </w:r>
          </w:p>
        </w:tc>
      </w:tr>
      <w:tr w:rsidR="008D6A0A" w:rsidRPr="00274555" w14:paraId="28AF00AA" w14:textId="77777777" w:rsidTr="00B41080">
        <w:trPr>
          <w:trHeight w:val="226"/>
          <w:jc w:val="center"/>
        </w:trPr>
        <w:tc>
          <w:tcPr>
            <w:tcW w:w="5475" w:type="dxa"/>
            <w:tcBorders>
              <w:top w:val="single" w:sz="12" w:space="0" w:color="A6802D"/>
              <w:left w:val="nil"/>
              <w:right w:val="nil"/>
            </w:tcBorders>
            <w:vAlign w:val="center"/>
          </w:tcPr>
          <w:p w14:paraId="4DB567B1" w14:textId="77777777" w:rsidR="008D6A0A" w:rsidRPr="00274555" w:rsidRDefault="008D6A0A"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4357DC99" w14:textId="77777777" w:rsidR="008D6A0A" w:rsidRPr="00274555" w:rsidRDefault="008D6A0A"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1CB6B79F" w14:textId="77777777" w:rsidR="008D6A0A" w:rsidRPr="00274555" w:rsidRDefault="008D6A0A" w:rsidP="00B41080">
            <w:pPr>
              <w:spacing w:after="0" w:line="240" w:lineRule="auto"/>
              <w:jc w:val="both"/>
              <w:rPr>
                <w:rFonts w:ascii="Noto Sans" w:eastAsia="Times New Roman" w:hAnsi="Noto Sans" w:cs="Noto Sans"/>
                <w:b/>
                <w:bCs/>
                <w:color w:val="000000"/>
                <w:sz w:val="14"/>
                <w:szCs w:val="14"/>
                <w:lang w:eastAsia="es-MX"/>
              </w:rPr>
            </w:pPr>
          </w:p>
        </w:tc>
      </w:tr>
    </w:tbl>
    <w:p w14:paraId="5CB9528C" w14:textId="77777777" w:rsidR="00AC6B67" w:rsidRDefault="00AC6B67" w:rsidP="00AC6B67">
      <w:pPr>
        <w:pStyle w:val="TEXTONORMAL"/>
        <w:ind w:left="357"/>
        <w:jc w:val="left"/>
        <w:rPr>
          <w:rFonts w:cs="Noto Sans"/>
          <w:szCs w:val="18"/>
        </w:rPr>
      </w:pPr>
    </w:p>
    <w:p w14:paraId="5B9AC671" w14:textId="77777777" w:rsidR="00DD62C4" w:rsidRDefault="00DD62C4" w:rsidP="00AC6B67">
      <w:pPr>
        <w:pStyle w:val="TEXTONORMAL"/>
        <w:ind w:left="357"/>
        <w:jc w:val="left"/>
        <w:rPr>
          <w:rFonts w:cs="Noto Sans"/>
          <w:szCs w:val="18"/>
        </w:rPr>
      </w:pPr>
    </w:p>
    <w:p w14:paraId="0AD4EC6F" w14:textId="77777777" w:rsidR="00DD62C4" w:rsidRDefault="00DD62C4" w:rsidP="004F5CF4">
      <w:pPr>
        <w:pStyle w:val="TEXTONORMAL"/>
        <w:jc w:val="left"/>
        <w:rPr>
          <w:rFonts w:cs="Noto Sans"/>
          <w:szCs w:val="18"/>
        </w:rPr>
      </w:pPr>
    </w:p>
    <w:p w14:paraId="18254846" w14:textId="77777777" w:rsidR="00DD62C4" w:rsidRDefault="00DD62C4" w:rsidP="00AC6B67">
      <w:pPr>
        <w:pStyle w:val="TEXTONORMAL"/>
        <w:ind w:left="357"/>
        <w:jc w:val="left"/>
        <w:rPr>
          <w:rFonts w:cs="Noto Sans"/>
          <w:szCs w:val="18"/>
        </w:rPr>
      </w:pPr>
    </w:p>
    <w:p w14:paraId="092977F8" w14:textId="77777777" w:rsidR="00B87C93" w:rsidRDefault="00B87C93" w:rsidP="00AC6B67">
      <w:pPr>
        <w:pStyle w:val="TEXTONORMAL"/>
        <w:ind w:left="357"/>
        <w:jc w:val="left"/>
        <w:rPr>
          <w:rFonts w:cs="Noto Sans"/>
          <w:szCs w:val="18"/>
        </w:rPr>
      </w:pPr>
    </w:p>
    <w:p w14:paraId="7B40A1A8" w14:textId="77777777" w:rsidR="00B87C93" w:rsidRDefault="00B87C93" w:rsidP="00AC6B67">
      <w:pPr>
        <w:pStyle w:val="TEXTONORMAL"/>
        <w:ind w:left="357"/>
        <w:jc w:val="left"/>
        <w:rPr>
          <w:rFonts w:cs="Noto Sans"/>
          <w:szCs w:val="18"/>
        </w:rPr>
      </w:pPr>
    </w:p>
    <w:p w14:paraId="4CA0A810" w14:textId="77777777" w:rsidR="00AC6B67" w:rsidRDefault="000B0DE6" w:rsidP="00ED1D2E">
      <w:pPr>
        <w:pStyle w:val="TEXTONORMAL"/>
        <w:numPr>
          <w:ilvl w:val="0"/>
          <w:numId w:val="10"/>
        </w:numPr>
        <w:ind w:left="357" w:hanging="357"/>
        <w:jc w:val="left"/>
        <w:rPr>
          <w:rFonts w:cs="Noto Sans"/>
          <w:szCs w:val="18"/>
        </w:rPr>
      </w:pPr>
      <w:r>
        <w:rPr>
          <w:rFonts w:cs="Noto Sans"/>
          <w:szCs w:val="18"/>
        </w:rPr>
        <w:t>3</w:t>
      </w:r>
      <w:r w:rsidR="00AC6B67" w:rsidRPr="00AC6B67">
        <w:rPr>
          <w:rFonts w:cs="Noto Sans"/>
          <w:szCs w:val="18"/>
        </w:rPr>
        <w:t>.3</w:t>
      </w:r>
      <w:r w:rsidR="00AC6B67">
        <w:rPr>
          <w:rFonts w:cs="Noto Sans"/>
          <w:szCs w:val="18"/>
        </w:rPr>
        <w:t xml:space="preserve"> Derechos a Recibir Bienes o Servicios </w:t>
      </w:r>
    </w:p>
    <w:p w14:paraId="4A5C5A88" w14:textId="0B969F76" w:rsidR="00AC6B67" w:rsidRDefault="00E35210" w:rsidP="00156FD5">
      <w:pPr>
        <w:pStyle w:val="TEXTONORMAL"/>
        <w:rPr>
          <w:rFonts w:cs="Noto Sans"/>
          <w:szCs w:val="18"/>
        </w:rPr>
      </w:pPr>
      <w:r>
        <w:rPr>
          <w:rFonts w:cs="Noto Sans"/>
          <w:szCs w:val="18"/>
        </w:rPr>
        <w:t>A</w:t>
      </w:r>
      <w:r w:rsidRPr="000F4D76">
        <w:rPr>
          <w:rFonts w:cs="Noto Sans"/>
          <w:szCs w:val="18"/>
        </w:rPr>
        <w:t xml:space="preserve">l </w:t>
      </w:r>
      <w:r w:rsidR="00705EC3" w:rsidRPr="002B3F78">
        <w:rPr>
          <w:rFonts w:cs="Noto Sans"/>
          <w:szCs w:val="18"/>
        </w:rPr>
        <w:t>3</w:t>
      </w:r>
      <w:r w:rsidR="00705EC3">
        <w:rPr>
          <w:rFonts w:cs="Noto Sans"/>
          <w:szCs w:val="18"/>
        </w:rPr>
        <w:t>0</w:t>
      </w:r>
      <w:r w:rsidR="00705EC3" w:rsidRPr="002B3F78">
        <w:rPr>
          <w:rFonts w:cs="Noto Sans"/>
          <w:szCs w:val="18"/>
        </w:rPr>
        <w:t xml:space="preserve"> de </w:t>
      </w:r>
      <w:r w:rsidR="00705EC3">
        <w:rPr>
          <w:rFonts w:cs="Noto Sans"/>
          <w:szCs w:val="18"/>
        </w:rPr>
        <w:t>junio</w:t>
      </w:r>
      <w:r w:rsidR="00705EC3" w:rsidRPr="002B3F78">
        <w:rPr>
          <w:rFonts w:cs="Noto Sans"/>
          <w:szCs w:val="18"/>
        </w:rPr>
        <w:t xml:space="preserve"> </w:t>
      </w:r>
      <w:r w:rsidRPr="000F4D76">
        <w:rPr>
          <w:rFonts w:cs="Noto Sans"/>
          <w:szCs w:val="18"/>
        </w:rPr>
        <w:t>de 2025 y 31 de diciembre de 2024</w:t>
      </w:r>
      <w:r w:rsidR="00AC6B67" w:rsidRPr="00AC6B67">
        <w:rPr>
          <w:rFonts w:cs="Noto Sans"/>
          <w:szCs w:val="18"/>
        </w:rPr>
        <w:t>, el rubro de Derechos a Recibir Bienes o Servicios se integra de la siguiente manera:</w:t>
      </w:r>
    </w:p>
    <w:p w14:paraId="540A02C0" w14:textId="77777777" w:rsidR="00163119" w:rsidRDefault="00163119" w:rsidP="00AC6B67">
      <w:pPr>
        <w:pStyle w:val="TEXTONORMAL"/>
        <w:jc w:val="left"/>
        <w:rPr>
          <w:rFonts w:cs="Noto Sans"/>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163119" w:rsidRPr="005946C5" w14:paraId="6D330006"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F185672" w14:textId="77777777" w:rsidR="00163119" w:rsidRPr="008E629A" w:rsidRDefault="00163119"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3B90CF7" w14:textId="77777777" w:rsidR="00163119" w:rsidRPr="008E629A" w:rsidRDefault="00163119"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163119" w:rsidRPr="005946C5" w14:paraId="0896C54A"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894CB08" w14:textId="77777777" w:rsidR="00163119" w:rsidRPr="008E629A" w:rsidRDefault="00163119"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F3DDEA0" w14:textId="47D49F86" w:rsidR="00163119"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3928F77" w14:textId="7606F7C3" w:rsidR="00163119" w:rsidRPr="008E629A" w:rsidRDefault="00DB7A0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EE52D2" w:rsidRPr="005946C5" w14:paraId="650F44D2" w14:textId="77777777" w:rsidTr="000B0DE6">
        <w:trPr>
          <w:trHeight w:val="283"/>
          <w:jc w:val="center"/>
        </w:trPr>
        <w:tc>
          <w:tcPr>
            <w:tcW w:w="5475" w:type="dxa"/>
            <w:tcBorders>
              <w:top w:val="triple" w:sz="12" w:space="0" w:color="A6802D"/>
              <w:left w:val="nil"/>
              <w:bottom w:val="nil"/>
              <w:right w:val="nil"/>
            </w:tcBorders>
            <w:shd w:val="clear" w:color="000000" w:fill="F2F2F2"/>
            <w:vAlign w:val="center"/>
          </w:tcPr>
          <w:p w14:paraId="1B1B616E" w14:textId="2DF9DDCF" w:rsidR="00EE52D2" w:rsidRPr="000B0DE6" w:rsidRDefault="00EE52D2" w:rsidP="00EE52D2">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 xml:space="preserve">SEDENA </w:t>
            </w:r>
            <w:r>
              <w:rPr>
                <w:rFonts w:ascii="Noto Sans" w:hAnsi="Noto Sans" w:cs="Noto Sans"/>
                <w:b/>
                <w:bCs/>
                <w:color w:val="000000"/>
                <w:sz w:val="15"/>
                <w:szCs w:val="15"/>
              </w:rPr>
              <w:t>(3.3.a)</w:t>
            </w:r>
          </w:p>
        </w:tc>
        <w:tc>
          <w:tcPr>
            <w:tcW w:w="1960" w:type="dxa"/>
            <w:tcBorders>
              <w:top w:val="triple" w:sz="12" w:space="0" w:color="A6802D"/>
              <w:left w:val="nil"/>
              <w:bottom w:val="nil"/>
              <w:right w:val="nil"/>
            </w:tcBorders>
            <w:shd w:val="clear" w:color="000000" w:fill="F2F2F2"/>
            <w:vAlign w:val="center"/>
          </w:tcPr>
          <w:p w14:paraId="04757F9F" w14:textId="4C9A84E2" w:rsidR="00EE52D2" w:rsidRPr="000B0DE6" w:rsidRDefault="00EE52D2" w:rsidP="00EE52D2">
            <w:pPr>
              <w:spacing w:after="0" w:line="240" w:lineRule="auto"/>
              <w:jc w:val="right"/>
              <w:rPr>
                <w:rFonts w:ascii="Noto Sans" w:eastAsia="Times New Roman" w:hAnsi="Noto Sans" w:cs="Noto Sans"/>
                <w:color w:val="000000"/>
                <w:sz w:val="15"/>
                <w:szCs w:val="15"/>
                <w:lang w:val="es-ES"/>
              </w:rPr>
            </w:pPr>
            <w:r>
              <w:rPr>
                <w:rFonts w:ascii="Noto Sans" w:hAnsi="Noto Sans" w:cs="Noto Sans"/>
                <w:color w:val="000000"/>
                <w:sz w:val="15"/>
                <w:szCs w:val="15"/>
              </w:rPr>
              <w:t>2,823,186,230.4</w:t>
            </w:r>
          </w:p>
        </w:tc>
        <w:tc>
          <w:tcPr>
            <w:tcW w:w="1961" w:type="dxa"/>
            <w:tcBorders>
              <w:top w:val="triple" w:sz="12" w:space="0" w:color="A6802D"/>
              <w:left w:val="nil"/>
              <w:bottom w:val="nil"/>
              <w:right w:val="nil"/>
            </w:tcBorders>
            <w:shd w:val="clear" w:color="000000" w:fill="F2F2F2"/>
            <w:vAlign w:val="center"/>
          </w:tcPr>
          <w:p w14:paraId="2AADB541" w14:textId="103FCD0B" w:rsidR="00EE52D2" w:rsidRPr="000B0DE6" w:rsidRDefault="00EE52D2" w:rsidP="00EE52D2">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1,267,286,205.0</w:t>
            </w:r>
          </w:p>
        </w:tc>
      </w:tr>
      <w:tr w:rsidR="00EE52D2" w:rsidRPr="00FC0913" w14:paraId="2E55C6BA" w14:textId="77777777" w:rsidTr="000B0DE6">
        <w:trPr>
          <w:trHeight w:val="283"/>
          <w:jc w:val="center"/>
        </w:trPr>
        <w:tc>
          <w:tcPr>
            <w:tcW w:w="5475" w:type="dxa"/>
            <w:tcBorders>
              <w:top w:val="nil"/>
              <w:left w:val="nil"/>
              <w:bottom w:val="nil"/>
              <w:right w:val="nil"/>
            </w:tcBorders>
            <w:shd w:val="clear" w:color="000000" w:fill="F2F2F2"/>
            <w:vAlign w:val="center"/>
          </w:tcPr>
          <w:p w14:paraId="15D00DB3" w14:textId="5F449177" w:rsidR="00EE52D2" w:rsidRPr="000B0DE6" w:rsidRDefault="00EE52D2" w:rsidP="00EE52D2">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 xml:space="preserve">Anticipos sobre Construcciones </w:t>
            </w:r>
            <w:r>
              <w:rPr>
                <w:rFonts w:ascii="Noto Sans" w:hAnsi="Noto Sans" w:cs="Noto Sans"/>
                <w:b/>
                <w:bCs/>
                <w:color w:val="000000"/>
                <w:sz w:val="15"/>
                <w:szCs w:val="15"/>
              </w:rPr>
              <w:t>(3.3.b)</w:t>
            </w:r>
          </w:p>
        </w:tc>
        <w:tc>
          <w:tcPr>
            <w:tcW w:w="1960" w:type="dxa"/>
            <w:tcBorders>
              <w:top w:val="nil"/>
              <w:left w:val="nil"/>
              <w:bottom w:val="nil"/>
              <w:right w:val="nil"/>
            </w:tcBorders>
            <w:shd w:val="clear" w:color="000000" w:fill="F2F2F2"/>
            <w:vAlign w:val="center"/>
          </w:tcPr>
          <w:p w14:paraId="69AA4499" w14:textId="21101798" w:rsidR="00EE52D2" w:rsidRPr="000B0DE6" w:rsidRDefault="00EE52D2" w:rsidP="00EE52D2">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707,277,999.9</w:t>
            </w:r>
          </w:p>
        </w:tc>
        <w:tc>
          <w:tcPr>
            <w:tcW w:w="1961" w:type="dxa"/>
            <w:tcBorders>
              <w:top w:val="nil"/>
              <w:left w:val="nil"/>
              <w:bottom w:val="nil"/>
              <w:right w:val="nil"/>
            </w:tcBorders>
            <w:shd w:val="clear" w:color="000000" w:fill="F2F2F2"/>
            <w:vAlign w:val="center"/>
          </w:tcPr>
          <w:p w14:paraId="441680BE" w14:textId="6C0F65E5" w:rsidR="00EE52D2" w:rsidRPr="000B0DE6" w:rsidRDefault="00EE52D2" w:rsidP="00EE52D2">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755,425,848.0</w:t>
            </w:r>
          </w:p>
        </w:tc>
      </w:tr>
      <w:tr w:rsidR="00EE52D2" w:rsidRPr="00FC0913" w14:paraId="4C94167F" w14:textId="77777777" w:rsidTr="000B0DE6">
        <w:trPr>
          <w:trHeight w:val="283"/>
          <w:jc w:val="center"/>
        </w:trPr>
        <w:tc>
          <w:tcPr>
            <w:tcW w:w="5475" w:type="dxa"/>
            <w:tcBorders>
              <w:top w:val="nil"/>
              <w:left w:val="nil"/>
              <w:bottom w:val="nil"/>
              <w:right w:val="nil"/>
            </w:tcBorders>
            <w:shd w:val="clear" w:color="000000" w:fill="F2F2F2"/>
            <w:vAlign w:val="center"/>
          </w:tcPr>
          <w:p w14:paraId="2BB58EE9" w14:textId="7C8FF136" w:rsidR="00EE52D2" w:rsidRPr="000B0DE6" w:rsidRDefault="00EE52D2" w:rsidP="00EE52D2">
            <w:pPr>
              <w:spacing w:after="0" w:line="240" w:lineRule="auto"/>
              <w:rPr>
                <w:rFonts w:ascii="Noto Sans" w:hAnsi="Noto Sans" w:cs="Noto Sans"/>
                <w:color w:val="000000"/>
                <w:sz w:val="15"/>
                <w:szCs w:val="15"/>
                <w:lang w:val="es-ES"/>
              </w:rPr>
            </w:pPr>
            <w:r>
              <w:rPr>
                <w:rFonts w:ascii="Noto Sans" w:hAnsi="Noto Sans" w:cs="Noto Sans"/>
                <w:color w:val="000000"/>
                <w:sz w:val="15"/>
                <w:szCs w:val="15"/>
              </w:rPr>
              <w:t xml:space="preserve">Otros Anticipos </w:t>
            </w:r>
            <w:r>
              <w:rPr>
                <w:rFonts w:ascii="Noto Sans" w:hAnsi="Noto Sans" w:cs="Noto Sans"/>
                <w:b/>
                <w:bCs/>
                <w:color w:val="000000"/>
                <w:sz w:val="15"/>
                <w:szCs w:val="15"/>
              </w:rPr>
              <w:t>(3.3.c)</w:t>
            </w:r>
          </w:p>
        </w:tc>
        <w:tc>
          <w:tcPr>
            <w:tcW w:w="1960" w:type="dxa"/>
            <w:tcBorders>
              <w:top w:val="nil"/>
              <w:left w:val="nil"/>
              <w:bottom w:val="nil"/>
              <w:right w:val="nil"/>
            </w:tcBorders>
            <w:shd w:val="clear" w:color="000000" w:fill="F2F2F2"/>
            <w:vAlign w:val="center"/>
          </w:tcPr>
          <w:p w14:paraId="6F38431A" w14:textId="3BDAB2CB" w:rsidR="00EE52D2" w:rsidRPr="000B0DE6" w:rsidRDefault="00EE52D2" w:rsidP="00EE52D2">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155,745,008.0</w:t>
            </w:r>
          </w:p>
        </w:tc>
        <w:tc>
          <w:tcPr>
            <w:tcW w:w="1961" w:type="dxa"/>
            <w:tcBorders>
              <w:top w:val="nil"/>
              <w:left w:val="nil"/>
              <w:bottom w:val="nil"/>
              <w:right w:val="nil"/>
            </w:tcBorders>
            <w:shd w:val="clear" w:color="000000" w:fill="F2F2F2"/>
            <w:vAlign w:val="center"/>
          </w:tcPr>
          <w:p w14:paraId="5C734111" w14:textId="47FE5BE6" w:rsidR="00EE52D2" w:rsidRPr="000B0DE6" w:rsidRDefault="00EE52D2" w:rsidP="00EE52D2">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155,745,008.0</w:t>
            </w:r>
          </w:p>
        </w:tc>
      </w:tr>
      <w:tr w:rsidR="00FB0200" w:rsidRPr="005946C5" w14:paraId="43B5BD94" w14:textId="77777777" w:rsidTr="000B0DE6">
        <w:trPr>
          <w:trHeight w:val="283"/>
          <w:jc w:val="center"/>
        </w:trPr>
        <w:tc>
          <w:tcPr>
            <w:tcW w:w="5475" w:type="dxa"/>
            <w:tcBorders>
              <w:top w:val="nil"/>
              <w:left w:val="nil"/>
              <w:bottom w:val="single" w:sz="12" w:space="0" w:color="A6802D"/>
              <w:right w:val="nil"/>
            </w:tcBorders>
            <w:shd w:val="clear" w:color="000000" w:fill="F2F2F2"/>
            <w:vAlign w:val="center"/>
          </w:tcPr>
          <w:p w14:paraId="0D2DA376" w14:textId="44722F5D" w:rsidR="00FB0200" w:rsidRPr="000B0DE6" w:rsidRDefault="00FB0200">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Derechos a Recibir Bienes o Servicios </w:t>
            </w:r>
          </w:p>
        </w:tc>
        <w:tc>
          <w:tcPr>
            <w:tcW w:w="1960" w:type="dxa"/>
            <w:tcBorders>
              <w:top w:val="nil"/>
              <w:left w:val="nil"/>
              <w:bottom w:val="single" w:sz="12" w:space="0" w:color="A6802D"/>
              <w:right w:val="nil"/>
            </w:tcBorders>
            <w:shd w:val="clear" w:color="000000" w:fill="F2F2F2"/>
            <w:vAlign w:val="center"/>
          </w:tcPr>
          <w:p w14:paraId="2AE49BAB" w14:textId="79463183" w:rsidR="00FB0200" w:rsidRPr="00EE52D2" w:rsidRDefault="00EE52D2" w:rsidP="00EE52D2">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rPr>
              <w:t>3,686,209,238.3</w:t>
            </w:r>
          </w:p>
        </w:tc>
        <w:tc>
          <w:tcPr>
            <w:tcW w:w="1961" w:type="dxa"/>
            <w:tcBorders>
              <w:top w:val="nil"/>
              <w:left w:val="nil"/>
              <w:bottom w:val="single" w:sz="12" w:space="0" w:color="A6802D"/>
              <w:right w:val="nil"/>
            </w:tcBorders>
            <w:shd w:val="clear" w:color="000000" w:fill="F2F2F2"/>
            <w:vAlign w:val="center"/>
          </w:tcPr>
          <w:p w14:paraId="1F34B2A2" w14:textId="2DCB83C3" w:rsidR="00FB0200" w:rsidRPr="000B0DE6" w:rsidRDefault="00FB0200">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2,178,457,061.0</w:t>
            </w:r>
          </w:p>
        </w:tc>
      </w:tr>
      <w:tr w:rsidR="00163119" w:rsidRPr="00274555" w14:paraId="4AF8C6A1" w14:textId="77777777" w:rsidTr="00B41080">
        <w:trPr>
          <w:trHeight w:val="226"/>
          <w:jc w:val="center"/>
        </w:trPr>
        <w:tc>
          <w:tcPr>
            <w:tcW w:w="5475" w:type="dxa"/>
            <w:tcBorders>
              <w:top w:val="single" w:sz="12" w:space="0" w:color="A6802D"/>
              <w:left w:val="nil"/>
              <w:right w:val="nil"/>
            </w:tcBorders>
            <w:vAlign w:val="center"/>
          </w:tcPr>
          <w:p w14:paraId="2E36B09B" w14:textId="77777777" w:rsidR="00163119" w:rsidRPr="00274555" w:rsidRDefault="00163119"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321FBFC" w14:textId="77777777" w:rsidR="00163119" w:rsidRPr="00274555" w:rsidRDefault="00163119"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49CCA593" w14:textId="77777777" w:rsidR="00163119" w:rsidRPr="00274555" w:rsidRDefault="00163119" w:rsidP="00B41080">
            <w:pPr>
              <w:spacing w:after="0" w:line="240" w:lineRule="auto"/>
              <w:jc w:val="both"/>
              <w:rPr>
                <w:rFonts w:ascii="Noto Sans" w:eastAsia="Times New Roman" w:hAnsi="Noto Sans" w:cs="Noto Sans"/>
                <w:b/>
                <w:bCs/>
                <w:color w:val="000000"/>
                <w:sz w:val="14"/>
                <w:szCs w:val="14"/>
                <w:lang w:eastAsia="es-MX"/>
              </w:rPr>
            </w:pPr>
          </w:p>
        </w:tc>
      </w:tr>
    </w:tbl>
    <w:p w14:paraId="44E8F13E" w14:textId="77777777" w:rsidR="00163119" w:rsidRDefault="00163119" w:rsidP="00AC6B67">
      <w:pPr>
        <w:pStyle w:val="TEXTONORMAL"/>
        <w:jc w:val="left"/>
        <w:rPr>
          <w:rFonts w:cs="Noto Sans"/>
          <w:szCs w:val="18"/>
        </w:rPr>
      </w:pPr>
    </w:p>
    <w:p w14:paraId="377BC0CC" w14:textId="6FCC4400" w:rsidR="00D61828" w:rsidRPr="00156FD5" w:rsidRDefault="000B0DE6" w:rsidP="00ED1D2E">
      <w:pPr>
        <w:pStyle w:val="TEXTONORMAL"/>
        <w:numPr>
          <w:ilvl w:val="0"/>
          <w:numId w:val="12"/>
        </w:numPr>
        <w:tabs>
          <w:tab w:val="left" w:pos="284"/>
        </w:tabs>
        <w:rPr>
          <w:rFonts w:cs="Noto Sans"/>
          <w:szCs w:val="18"/>
        </w:rPr>
      </w:pPr>
      <w:r>
        <w:t>3</w:t>
      </w:r>
      <w:r w:rsidR="00D61828">
        <w:t>.3.a)</w:t>
      </w:r>
      <w:r w:rsidR="00156FD5">
        <w:t xml:space="preserve"> </w:t>
      </w:r>
      <w:r w:rsidR="00156FD5" w:rsidRPr="00156FD5">
        <w:t xml:space="preserve">En 2024 </w:t>
      </w:r>
      <w:r w:rsidR="00DD62C4">
        <w:t>y lo que va del 2025</w:t>
      </w:r>
      <w:r w:rsidR="00156FD5" w:rsidRPr="00156FD5">
        <w:t xml:space="preserve"> se llevó a cabo la formalización de convenios específicos para la realización de trabajos de construcción en unidades médicas del Instituto, celebrados entre el IMSS y la Secretaría de la Defensa Nacional (SEDENA) por lo cual se otorgaron aportaciones.</w:t>
      </w:r>
    </w:p>
    <w:p w14:paraId="21A033D1" w14:textId="77777777" w:rsidR="00156FD5" w:rsidRPr="00156FD5" w:rsidRDefault="00156FD5" w:rsidP="00D47EE8">
      <w:pPr>
        <w:pStyle w:val="TEXTONORMAL"/>
        <w:tabs>
          <w:tab w:val="left" w:pos="284"/>
        </w:tabs>
        <w:spacing w:after="0"/>
        <w:ind w:left="720"/>
        <w:rPr>
          <w:rFonts w:cs="Noto Sans"/>
          <w:szCs w:val="18"/>
        </w:rPr>
      </w:pPr>
    </w:p>
    <w:p w14:paraId="19F0AD5F" w14:textId="17D5B3EC" w:rsidR="007F7F7B" w:rsidRDefault="000B0DE6" w:rsidP="000B0DE6">
      <w:pPr>
        <w:pStyle w:val="TEXTONORMAL"/>
        <w:numPr>
          <w:ilvl w:val="0"/>
          <w:numId w:val="12"/>
        </w:numPr>
        <w:tabs>
          <w:tab w:val="left" w:pos="284"/>
          <w:tab w:val="left" w:pos="1843"/>
          <w:tab w:val="left" w:pos="11199"/>
        </w:tabs>
        <w:rPr>
          <w:rFonts w:cs="Noto Sans"/>
          <w:szCs w:val="18"/>
        </w:rPr>
      </w:pPr>
      <w:r>
        <w:rPr>
          <w:rFonts w:cs="Noto Sans"/>
          <w:szCs w:val="18"/>
        </w:rPr>
        <w:t>3</w:t>
      </w:r>
      <w:r w:rsidR="00156FD5">
        <w:rPr>
          <w:rFonts w:cs="Noto Sans"/>
          <w:szCs w:val="18"/>
        </w:rPr>
        <w:t xml:space="preserve">.3.b) </w:t>
      </w:r>
      <w:r w:rsidR="00156FD5" w:rsidRPr="00156FD5">
        <w:rPr>
          <w:rFonts w:cs="Noto Sans"/>
          <w:szCs w:val="18"/>
        </w:rPr>
        <w:t xml:space="preserve">Respecto de los anticipos sobre construcciones que se encuentran en proceso jurídico, se estableció una estimación de cobro dudoso por el 50%, tomando en consideración la experiencia y el estatus de </w:t>
      </w:r>
      <w:r w:rsidR="0081738F" w:rsidRPr="00156FD5">
        <w:rPr>
          <w:rFonts w:cs="Noto Sans"/>
          <w:szCs w:val="18"/>
        </w:rPr>
        <w:t>estos</w:t>
      </w:r>
      <w:r w:rsidR="00156FD5" w:rsidRPr="00156FD5">
        <w:rPr>
          <w:rFonts w:cs="Noto Sans"/>
          <w:szCs w:val="18"/>
        </w:rPr>
        <w:t xml:space="preserve"> para la recuperación de los adeudos, de conformidad con el lineamiento contable del Manual de Contabilidad Gubernamental para el Sector Paraestatal Federal (MCGSPF) “C.- Estimación de Cuentas Incobrables”.</w:t>
      </w:r>
    </w:p>
    <w:p w14:paraId="2C82F629" w14:textId="77777777" w:rsidR="00DD62C4" w:rsidRDefault="00DD62C4" w:rsidP="00DD62C4">
      <w:pPr>
        <w:pStyle w:val="TEXTONORMAL"/>
        <w:tabs>
          <w:tab w:val="left" w:pos="284"/>
          <w:tab w:val="left" w:pos="1843"/>
          <w:tab w:val="left" w:pos="11199"/>
        </w:tabs>
        <w:rPr>
          <w:rFonts w:cs="Noto Sans"/>
          <w:szCs w:val="18"/>
        </w:rPr>
      </w:pPr>
    </w:p>
    <w:p w14:paraId="4137E430" w14:textId="77777777" w:rsidR="00156FD5" w:rsidRDefault="000B0DE6" w:rsidP="00ED1D2E">
      <w:pPr>
        <w:pStyle w:val="TEXTONORMAL"/>
        <w:numPr>
          <w:ilvl w:val="0"/>
          <w:numId w:val="12"/>
        </w:numPr>
        <w:tabs>
          <w:tab w:val="left" w:pos="284"/>
        </w:tabs>
        <w:rPr>
          <w:rFonts w:cs="Noto Sans"/>
          <w:szCs w:val="18"/>
        </w:rPr>
      </w:pPr>
      <w:r>
        <w:rPr>
          <w:rFonts w:cs="Noto Sans"/>
          <w:szCs w:val="18"/>
        </w:rPr>
        <w:t>3</w:t>
      </w:r>
      <w:r w:rsidR="00156FD5">
        <w:rPr>
          <w:rFonts w:cs="Noto Sans"/>
          <w:szCs w:val="18"/>
        </w:rPr>
        <w:t xml:space="preserve">.3.c) </w:t>
      </w:r>
      <w:r w:rsidR="00156FD5" w:rsidRPr="00156FD5">
        <w:rPr>
          <w:rFonts w:cs="Noto Sans"/>
          <w:szCs w:val="18"/>
        </w:rPr>
        <w:t xml:space="preserve">Respecto a los otros anticipos, se registró una estimación de cobro dudoso por el 100%, tomando en consideración la antigüedad del saldo y el estatus de los mismos para la recuperación de los adeudos;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(Ver nota </w:t>
      </w:r>
      <w:r w:rsidR="00F379EC">
        <w:rPr>
          <w:rFonts w:cs="Noto Sans"/>
          <w:szCs w:val="18"/>
        </w:rPr>
        <w:t>3</w:t>
      </w:r>
      <w:r w:rsidR="00156FD5" w:rsidRPr="00156FD5">
        <w:rPr>
          <w:rFonts w:cs="Noto Sans"/>
          <w:szCs w:val="18"/>
        </w:rPr>
        <w:t>.6</w:t>
      </w:r>
      <w:r w:rsidR="00156FD5">
        <w:rPr>
          <w:rFonts w:cs="Noto Sans"/>
          <w:szCs w:val="18"/>
        </w:rPr>
        <w:t>).</w:t>
      </w:r>
    </w:p>
    <w:p w14:paraId="63068A25" w14:textId="77777777" w:rsidR="007F7F7B" w:rsidRDefault="007F7F7B" w:rsidP="00D47EE8">
      <w:pPr>
        <w:pStyle w:val="TEXTONORMAL"/>
        <w:tabs>
          <w:tab w:val="left" w:pos="284"/>
        </w:tabs>
        <w:spacing w:after="0"/>
        <w:rPr>
          <w:rFonts w:cs="Noto Sans"/>
          <w:szCs w:val="18"/>
        </w:rPr>
      </w:pPr>
    </w:p>
    <w:p w14:paraId="0CEE9346" w14:textId="77777777" w:rsidR="00156FD5" w:rsidRDefault="000B0DE6" w:rsidP="00ED1D2E">
      <w:pPr>
        <w:pStyle w:val="TEXTONORMAL"/>
        <w:numPr>
          <w:ilvl w:val="1"/>
          <w:numId w:val="9"/>
        </w:numPr>
        <w:tabs>
          <w:tab w:val="left" w:pos="284"/>
        </w:tabs>
        <w:ind w:left="357" w:hanging="357"/>
        <w:rPr>
          <w:rFonts w:cs="Noto Sans"/>
          <w:szCs w:val="18"/>
        </w:rPr>
      </w:pPr>
      <w:r>
        <w:rPr>
          <w:rFonts w:cs="Noto Sans"/>
          <w:szCs w:val="18"/>
        </w:rPr>
        <w:t>3</w:t>
      </w:r>
      <w:r w:rsidR="00156FD5">
        <w:rPr>
          <w:rFonts w:cs="Noto Sans"/>
          <w:szCs w:val="18"/>
        </w:rPr>
        <w:t xml:space="preserve">.4 Inventarios </w:t>
      </w:r>
    </w:p>
    <w:p w14:paraId="4842FD28" w14:textId="75177AC1" w:rsidR="007F7F7B" w:rsidRPr="00156FD5" w:rsidRDefault="00E35210" w:rsidP="00156FD5">
      <w:pPr>
        <w:pStyle w:val="TEXTONORMAL"/>
        <w:tabs>
          <w:tab w:val="left" w:pos="284"/>
        </w:tabs>
        <w:rPr>
          <w:rFonts w:cs="Noto Sans"/>
          <w:szCs w:val="18"/>
        </w:rPr>
      </w:pPr>
      <w:r>
        <w:rPr>
          <w:rFonts w:cs="Noto Sans"/>
          <w:szCs w:val="18"/>
        </w:rPr>
        <w:t>A</w:t>
      </w:r>
      <w:r w:rsidRPr="000F4D76">
        <w:rPr>
          <w:rFonts w:cs="Noto Sans"/>
          <w:szCs w:val="18"/>
        </w:rPr>
        <w:t xml:space="preserve">l </w:t>
      </w:r>
      <w:r w:rsidR="007C5184" w:rsidRPr="002B3F78">
        <w:rPr>
          <w:rFonts w:cs="Noto Sans"/>
          <w:szCs w:val="18"/>
        </w:rPr>
        <w:t>3</w:t>
      </w:r>
      <w:r w:rsidR="007C5184">
        <w:rPr>
          <w:rFonts w:cs="Noto Sans"/>
          <w:szCs w:val="18"/>
        </w:rPr>
        <w:t>0</w:t>
      </w:r>
      <w:r w:rsidR="007C5184" w:rsidRPr="002B3F78">
        <w:rPr>
          <w:rFonts w:cs="Noto Sans"/>
          <w:szCs w:val="18"/>
        </w:rPr>
        <w:t xml:space="preserve"> de </w:t>
      </w:r>
      <w:r w:rsidR="007C5184">
        <w:rPr>
          <w:rFonts w:cs="Noto Sans"/>
          <w:szCs w:val="18"/>
        </w:rPr>
        <w:t>junio</w:t>
      </w:r>
      <w:r w:rsidR="007C5184" w:rsidRPr="002B3F78">
        <w:rPr>
          <w:rFonts w:cs="Noto Sans"/>
          <w:szCs w:val="18"/>
        </w:rPr>
        <w:t xml:space="preserve"> </w:t>
      </w:r>
      <w:r w:rsidRPr="000F4D76">
        <w:rPr>
          <w:rFonts w:cs="Noto Sans"/>
          <w:szCs w:val="18"/>
        </w:rPr>
        <w:t>de 2025 y 31 de diciembre de 2024</w:t>
      </w:r>
      <w:r w:rsidR="00156FD5" w:rsidRPr="00156FD5">
        <w:rPr>
          <w:rFonts w:cs="Noto Sans"/>
          <w:szCs w:val="18"/>
        </w:rPr>
        <w:t>, el rubro de Inventarios</w:t>
      </w:r>
      <w:r w:rsidR="007F7F7B">
        <w:rPr>
          <w:rFonts w:cs="Noto Sans"/>
          <w:szCs w:val="18"/>
        </w:rPr>
        <w:t xml:space="preserve"> </w:t>
      </w:r>
      <w:r w:rsidR="00D47EE8" w:rsidRPr="00D47EE8">
        <w:rPr>
          <w:rFonts w:cs="Noto Sans"/>
          <w:szCs w:val="18"/>
        </w:rPr>
        <w:t xml:space="preserve">equivale a </w:t>
      </w:r>
      <w:r w:rsidR="00D47EE8" w:rsidRPr="00553EE1">
        <w:rPr>
          <w:rFonts w:cs="Noto Sans"/>
          <w:szCs w:val="18"/>
        </w:rPr>
        <w:t>14</w:t>
      </w:r>
      <w:r w:rsidR="00B05695" w:rsidRPr="00553EE1">
        <w:rPr>
          <w:rFonts w:cs="Noto Sans"/>
          <w:szCs w:val="18"/>
        </w:rPr>
        <w:t>9</w:t>
      </w:r>
      <w:r w:rsidR="00D47EE8" w:rsidRPr="00553EE1">
        <w:rPr>
          <w:rFonts w:cs="Noto Sans"/>
          <w:szCs w:val="18"/>
        </w:rPr>
        <w:t>,</w:t>
      </w:r>
      <w:r w:rsidR="00B05695" w:rsidRPr="00553EE1">
        <w:rPr>
          <w:rFonts w:cs="Noto Sans"/>
          <w:szCs w:val="18"/>
        </w:rPr>
        <w:t>577</w:t>
      </w:r>
      <w:r w:rsidR="00D47EE8" w:rsidRPr="00553EE1">
        <w:rPr>
          <w:rFonts w:cs="Noto Sans"/>
          <w:szCs w:val="18"/>
        </w:rPr>
        <w:t>,</w:t>
      </w:r>
      <w:r w:rsidR="00B05695" w:rsidRPr="00553EE1">
        <w:rPr>
          <w:rFonts w:cs="Noto Sans"/>
          <w:szCs w:val="18"/>
        </w:rPr>
        <w:t>3</w:t>
      </w:r>
      <w:r w:rsidR="00D6792D" w:rsidRPr="00553EE1">
        <w:rPr>
          <w:rFonts w:cs="Noto Sans"/>
          <w:szCs w:val="18"/>
        </w:rPr>
        <w:t>21</w:t>
      </w:r>
      <w:r w:rsidR="00D47EE8" w:rsidRPr="00553EE1">
        <w:rPr>
          <w:rFonts w:cs="Noto Sans"/>
          <w:szCs w:val="18"/>
        </w:rPr>
        <w:t>.</w:t>
      </w:r>
      <w:r w:rsidR="00826845">
        <w:rPr>
          <w:rFonts w:cs="Noto Sans"/>
          <w:szCs w:val="18"/>
        </w:rPr>
        <w:t>3</w:t>
      </w:r>
      <w:r w:rsidR="00D47EE8" w:rsidRPr="00553EE1">
        <w:rPr>
          <w:rFonts w:cs="Noto Sans"/>
          <w:szCs w:val="18"/>
        </w:rPr>
        <w:t xml:space="preserve"> pesos</w:t>
      </w:r>
      <w:r w:rsidR="00D47EE8" w:rsidRPr="00D47EE8">
        <w:rPr>
          <w:rFonts w:cs="Noto Sans"/>
          <w:szCs w:val="18"/>
        </w:rPr>
        <w:t xml:space="preserve"> y </w:t>
      </w:r>
      <w:r w:rsidR="00DD62C4" w:rsidRPr="00D47EE8">
        <w:rPr>
          <w:rFonts w:cs="Noto Sans"/>
          <w:szCs w:val="18"/>
        </w:rPr>
        <w:t xml:space="preserve">146,213,628.1 </w:t>
      </w:r>
      <w:r w:rsidR="00D47EE8" w:rsidRPr="00D47EE8">
        <w:rPr>
          <w:rFonts w:cs="Noto Sans"/>
          <w:szCs w:val="18"/>
        </w:rPr>
        <w:t>pesos, respectivamente.</w:t>
      </w:r>
    </w:p>
    <w:p w14:paraId="4CF6BD79" w14:textId="77777777" w:rsidR="00156FD5" w:rsidRPr="00156FD5" w:rsidRDefault="00156FD5" w:rsidP="00156FD5">
      <w:pPr>
        <w:pStyle w:val="TEXTONORMAL"/>
        <w:tabs>
          <w:tab w:val="left" w:pos="284"/>
        </w:tabs>
        <w:rPr>
          <w:rFonts w:cs="Noto Sans"/>
          <w:szCs w:val="18"/>
        </w:rPr>
      </w:pPr>
      <w:r w:rsidRPr="00156FD5">
        <w:rPr>
          <w:rFonts w:cs="Noto Sans"/>
          <w:szCs w:val="18"/>
        </w:rPr>
        <w:t xml:space="preserve">Los inventarios corresponden principalmente a mercancías para su comercialización en las Tiendas IMSS-SNTSS, las cuales se encuentran valuadas por el método de costos promedios. </w:t>
      </w:r>
    </w:p>
    <w:p w14:paraId="10174762" w14:textId="369DB9DB" w:rsidR="00D47EE8" w:rsidRDefault="00156FD5" w:rsidP="00156FD5">
      <w:pPr>
        <w:pStyle w:val="TEXTONORMAL"/>
        <w:tabs>
          <w:tab w:val="left" w:pos="284"/>
        </w:tabs>
        <w:rPr>
          <w:rFonts w:cs="Noto Sans"/>
          <w:szCs w:val="18"/>
        </w:rPr>
      </w:pPr>
      <w:r w:rsidRPr="00156FD5">
        <w:rPr>
          <w:rFonts w:cs="Noto Sans"/>
          <w:szCs w:val="18"/>
        </w:rPr>
        <w:lastRenderedPageBreak/>
        <w:t>Los inventarios, incluyendo artículos obsoletos, de lento movimiento, defectuosos o en mal estado, se encuentran registrados a valores que no exceden su valor estimado de realización</w:t>
      </w:r>
      <w:r w:rsidR="007F7F7B">
        <w:rPr>
          <w:rFonts w:cs="Noto Sans"/>
          <w:szCs w:val="18"/>
        </w:rPr>
        <w:t>.</w:t>
      </w:r>
    </w:p>
    <w:p w14:paraId="47DDEFE9" w14:textId="77777777" w:rsidR="000237F6" w:rsidRDefault="000B0DE6" w:rsidP="00ED1D2E">
      <w:pPr>
        <w:pStyle w:val="TEXTONORMAL"/>
        <w:numPr>
          <w:ilvl w:val="1"/>
          <w:numId w:val="9"/>
        </w:numPr>
        <w:tabs>
          <w:tab w:val="left" w:pos="284"/>
        </w:tabs>
        <w:ind w:left="357" w:hanging="357"/>
        <w:rPr>
          <w:rFonts w:cs="Noto Sans"/>
          <w:szCs w:val="18"/>
        </w:rPr>
      </w:pPr>
      <w:r>
        <w:rPr>
          <w:rFonts w:cs="Noto Sans"/>
          <w:szCs w:val="18"/>
        </w:rPr>
        <w:t>3</w:t>
      </w:r>
      <w:r w:rsidR="000237F6">
        <w:rPr>
          <w:rFonts w:cs="Noto Sans"/>
          <w:szCs w:val="18"/>
        </w:rPr>
        <w:t>.5 Almacenes</w:t>
      </w:r>
    </w:p>
    <w:p w14:paraId="2849A712" w14:textId="73A776D6" w:rsidR="007F7F7B" w:rsidRDefault="007F7F7B" w:rsidP="00156FD5">
      <w:pPr>
        <w:pStyle w:val="TEXTONORMAL"/>
        <w:tabs>
          <w:tab w:val="left" w:pos="284"/>
        </w:tabs>
        <w:rPr>
          <w:rFonts w:cs="Noto Sans"/>
          <w:szCs w:val="18"/>
        </w:rPr>
      </w:pPr>
      <w:r w:rsidRPr="007F7F7B">
        <w:rPr>
          <w:rFonts w:cs="Noto Sans"/>
          <w:szCs w:val="18"/>
        </w:rPr>
        <w:t xml:space="preserve">Los bienes registrados en los almacenes se integran por productos farmacéuticos, de laboratorio y artículos similares necesarios para el desempeño de las actividades del Instituto, los </w:t>
      </w:r>
      <w:r w:rsidR="00AF1E5B" w:rsidRPr="007F7F7B">
        <w:rPr>
          <w:rFonts w:cs="Noto Sans"/>
          <w:szCs w:val="18"/>
        </w:rPr>
        <w:t>cuales,</w:t>
      </w:r>
      <w:r w:rsidRPr="007F7F7B">
        <w:rPr>
          <w:rFonts w:cs="Noto Sans"/>
          <w:szCs w:val="18"/>
        </w:rPr>
        <w:t xml:space="preserve"> </w:t>
      </w:r>
      <w:r w:rsidR="00E35210">
        <w:rPr>
          <w:rFonts w:cs="Noto Sans"/>
          <w:szCs w:val="18"/>
        </w:rPr>
        <w:t>a</w:t>
      </w:r>
      <w:r w:rsidR="00E35210" w:rsidRPr="000F4D76">
        <w:rPr>
          <w:rFonts w:cs="Noto Sans"/>
          <w:szCs w:val="18"/>
        </w:rPr>
        <w:t xml:space="preserve">l </w:t>
      </w:r>
      <w:r w:rsidR="006473A0" w:rsidRPr="002B3F78">
        <w:rPr>
          <w:rFonts w:cs="Noto Sans"/>
          <w:szCs w:val="18"/>
        </w:rPr>
        <w:t>3</w:t>
      </w:r>
      <w:r w:rsidR="006473A0">
        <w:rPr>
          <w:rFonts w:cs="Noto Sans"/>
          <w:szCs w:val="18"/>
        </w:rPr>
        <w:t>0</w:t>
      </w:r>
      <w:r w:rsidR="006473A0" w:rsidRPr="002B3F78">
        <w:rPr>
          <w:rFonts w:cs="Noto Sans"/>
          <w:szCs w:val="18"/>
        </w:rPr>
        <w:t xml:space="preserve"> de </w:t>
      </w:r>
      <w:r w:rsidR="006473A0">
        <w:rPr>
          <w:rFonts w:cs="Noto Sans"/>
          <w:szCs w:val="18"/>
        </w:rPr>
        <w:t>junio</w:t>
      </w:r>
      <w:r w:rsidR="006473A0" w:rsidRPr="002B3F78">
        <w:rPr>
          <w:rFonts w:cs="Noto Sans"/>
          <w:szCs w:val="18"/>
        </w:rPr>
        <w:t xml:space="preserve"> </w:t>
      </w:r>
      <w:r w:rsidR="00E35210" w:rsidRPr="000F4D76">
        <w:rPr>
          <w:rFonts w:cs="Noto Sans"/>
          <w:szCs w:val="18"/>
        </w:rPr>
        <w:t>de 2025 y 31 de diciembre de 2024</w:t>
      </w:r>
      <w:r w:rsidRPr="007F7F7B">
        <w:rPr>
          <w:rFonts w:cs="Noto Sans"/>
          <w:szCs w:val="18"/>
        </w:rPr>
        <w:t>, se muestran de la siguiente manera:</w:t>
      </w:r>
    </w:p>
    <w:p w14:paraId="29968A25" w14:textId="77777777" w:rsidR="00FB0200" w:rsidRDefault="00FB0200" w:rsidP="00156FD5">
      <w:pPr>
        <w:pStyle w:val="TEXTONORMAL"/>
        <w:tabs>
          <w:tab w:val="left" w:pos="284"/>
        </w:tabs>
        <w:rPr>
          <w:rFonts w:cs="Noto Sans"/>
          <w:szCs w:val="18"/>
        </w:rPr>
      </w:pPr>
    </w:p>
    <w:tbl>
      <w:tblPr>
        <w:tblW w:w="0" w:type="auto"/>
        <w:jc w:val="center"/>
        <w:tblCellMar>
          <w:left w:w="70" w:type="dxa"/>
          <w:right w:w="70" w:type="dxa"/>
        </w:tblCellMar>
        <w:tblLook w:val="0480" w:firstRow="0" w:lastRow="0" w:firstColumn="1" w:lastColumn="0" w:noHBand="0" w:noVBand="1"/>
      </w:tblPr>
      <w:tblGrid>
        <w:gridCol w:w="5492"/>
        <w:gridCol w:w="1966"/>
        <w:gridCol w:w="1967"/>
      </w:tblGrid>
      <w:tr w:rsidR="007F7F7B" w:rsidRPr="005946C5" w14:paraId="508ADBAF" w14:textId="77777777" w:rsidTr="00AF1E5B">
        <w:trPr>
          <w:trHeight w:val="15"/>
          <w:jc w:val="center"/>
        </w:trPr>
        <w:tc>
          <w:tcPr>
            <w:tcW w:w="5492"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72D127D" w14:textId="77777777" w:rsidR="007F7F7B" w:rsidRPr="008E629A" w:rsidRDefault="007F7F7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33" w:type="dxa"/>
            <w:gridSpan w:val="2"/>
            <w:tcBorders>
              <w:top w:val="double" w:sz="12" w:space="0" w:color="A6802D"/>
              <w:left w:val="nil"/>
              <w:bottom w:val="single" w:sz="12" w:space="0" w:color="FFFFFF"/>
            </w:tcBorders>
            <w:shd w:val="clear" w:color="auto" w:fill="A6802D"/>
            <w:vAlign w:val="center"/>
            <w:hideMark/>
          </w:tcPr>
          <w:p w14:paraId="772B3B32" w14:textId="77777777" w:rsidR="007F7F7B" w:rsidRPr="008E629A" w:rsidRDefault="007F7F7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7F7F7B" w:rsidRPr="005946C5" w14:paraId="590C6F4D" w14:textId="77777777" w:rsidTr="00AF1E5B">
        <w:trPr>
          <w:trHeight w:val="18"/>
          <w:jc w:val="center"/>
        </w:trPr>
        <w:tc>
          <w:tcPr>
            <w:tcW w:w="5492" w:type="dxa"/>
            <w:vMerge/>
            <w:tcBorders>
              <w:top w:val="single" w:sz="12" w:space="0" w:color="808080"/>
              <w:left w:val="nil"/>
              <w:bottom w:val="triple" w:sz="12" w:space="0" w:color="A6802D"/>
              <w:right w:val="single" w:sz="12" w:space="0" w:color="FFFFFF"/>
            </w:tcBorders>
            <w:shd w:val="clear" w:color="auto" w:fill="A6802D"/>
            <w:vAlign w:val="center"/>
            <w:hideMark/>
          </w:tcPr>
          <w:p w14:paraId="7A1A9F6A" w14:textId="77777777" w:rsidR="007F7F7B" w:rsidRPr="008E629A" w:rsidRDefault="007F7F7B" w:rsidP="00B41080">
            <w:pPr>
              <w:spacing w:after="0" w:line="240" w:lineRule="exact"/>
              <w:jc w:val="center"/>
              <w:rPr>
                <w:rFonts w:ascii="Noto Sans" w:eastAsia="Times New Roman" w:hAnsi="Noto Sans" w:cs="Noto Sans"/>
                <w:b/>
                <w:bCs/>
                <w:color w:val="FFFFFF"/>
                <w:sz w:val="16"/>
                <w:szCs w:val="16"/>
                <w:lang w:eastAsia="es-MX"/>
              </w:rPr>
            </w:pPr>
          </w:p>
        </w:tc>
        <w:tc>
          <w:tcPr>
            <w:tcW w:w="1966" w:type="dxa"/>
            <w:tcBorders>
              <w:top w:val="nil"/>
              <w:left w:val="nil"/>
              <w:bottom w:val="triple" w:sz="12" w:space="0" w:color="A6802D"/>
              <w:right w:val="single" w:sz="12" w:space="0" w:color="FFFFFF"/>
            </w:tcBorders>
            <w:shd w:val="clear" w:color="auto" w:fill="A6802D"/>
            <w:vAlign w:val="center"/>
          </w:tcPr>
          <w:p w14:paraId="6A62935A" w14:textId="5095AAB0" w:rsidR="007F7F7B" w:rsidRPr="008E629A" w:rsidRDefault="00B73337"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7" w:type="dxa"/>
            <w:tcBorders>
              <w:top w:val="nil"/>
              <w:left w:val="nil"/>
              <w:bottom w:val="triple" w:sz="12" w:space="0" w:color="A6802D"/>
            </w:tcBorders>
            <w:shd w:val="clear" w:color="auto" w:fill="A6802D"/>
            <w:vAlign w:val="center"/>
          </w:tcPr>
          <w:p w14:paraId="62BBC89F" w14:textId="433ED5A7" w:rsidR="007F7F7B" w:rsidRPr="008E629A" w:rsidRDefault="00B73337"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887D16" w:rsidRPr="005946C5" w14:paraId="1B97B711" w14:textId="77777777" w:rsidTr="00AF1E5B">
        <w:trPr>
          <w:trHeight w:val="237"/>
          <w:jc w:val="center"/>
        </w:trPr>
        <w:tc>
          <w:tcPr>
            <w:tcW w:w="5492" w:type="dxa"/>
            <w:tcBorders>
              <w:top w:val="triple" w:sz="12" w:space="0" w:color="A6802D"/>
              <w:left w:val="nil"/>
              <w:bottom w:val="nil"/>
              <w:right w:val="nil"/>
            </w:tcBorders>
            <w:shd w:val="clear" w:color="000000" w:fill="F2F2F2"/>
            <w:vAlign w:val="center"/>
          </w:tcPr>
          <w:p w14:paraId="4D16BA42" w14:textId="44F11B84" w:rsidR="00887D16" w:rsidRPr="000B0DE6" w:rsidRDefault="00887D16" w:rsidP="00887D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Productos Químicos, Farmacéuticos y de Laboratorio  </w:t>
            </w:r>
          </w:p>
        </w:tc>
        <w:tc>
          <w:tcPr>
            <w:tcW w:w="1966" w:type="dxa"/>
            <w:tcBorders>
              <w:top w:val="triple" w:sz="12" w:space="0" w:color="A6802D"/>
              <w:left w:val="nil"/>
              <w:bottom w:val="nil"/>
              <w:right w:val="nil"/>
            </w:tcBorders>
            <w:shd w:val="clear" w:color="000000" w:fill="F2F2F2"/>
            <w:vAlign w:val="center"/>
          </w:tcPr>
          <w:p w14:paraId="7BF45548" w14:textId="244D3E99"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17,662,942,613.2</w:t>
            </w:r>
          </w:p>
        </w:tc>
        <w:tc>
          <w:tcPr>
            <w:tcW w:w="1967" w:type="dxa"/>
            <w:tcBorders>
              <w:top w:val="triple" w:sz="12" w:space="0" w:color="A6802D"/>
              <w:left w:val="nil"/>
              <w:bottom w:val="nil"/>
              <w:right w:val="nil"/>
            </w:tcBorders>
            <w:shd w:val="clear" w:color="000000" w:fill="F2F2F2"/>
            <w:vAlign w:val="center"/>
          </w:tcPr>
          <w:p w14:paraId="6778AD28" w14:textId="1FD11A84"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18,171,641,959.3</w:t>
            </w:r>
          </w:p>
        </w:tc>
      </w:tr>
      <w:tr w:rsidR="00887D16" w:rsidRPr="00FC0913" w14:paraId="6AA9464C" w14:textId="77777777" w:rsidTr="00AF1E5B">
        <w:trPr>
          <w:trHeight w:val="131"/>
          <w:jc w:val="center"/>
        </w:trPr>
        <w:tc>
          <w:tcPr>
            <w:tcW w:w="5492" w:type="dxa"/>
            <w:tcBorders>
              <w:top w:val="nil"/>
              <w:left w:val="nil"/>
              <w:bottom w:val="nil"/>
              <w:right w:val="nil"/>
            </w:tcBorders>
            <w:shd w:val="clear" w:color="000000" w:fill="F2F2F2"/>
            <w:vAlign w:val="center"/>
          </w:tcPr>
          <w:p w14:paraId="2656D15B" w14:textId="0D3FFBF5" w:rsidR="00887D16" w:rsidRPr="000B0DE6" w:rsidRDefault="00887D16" w:rsidP="00887D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Almacenes en Tránsito y Otros</w:t>
            </w:r>
          </w:p>
        </w:tc>
        <w:tc>
          <w:tcPr>
            <w:tcW w:w="1966" w:type="dxa"/>
            <w:tcBorders>
              <w:top w:val="nil"/>
              <w:left w:val="nil"/>
              <w:bottom w:val="nil"/>
              <w:right w:val="nil"/>
            </w:tcBorders>
            <w:shd w:val="clear" w:color="000000" w:fill="F2F2F2"/>
            <w:vAlign w:val="center"/>
          </w:tcPr>
          <w:p w14:paraId="6BAA6327" w14:textId="0C74638D"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2,402,588,251.5</w:t>
            </w:r>
          </w:p>
        </w:tc>
        <w:tc>
          <w:tcPr>
            <w:tcW w:w="1967" w:type="dxa"/>
            <w:tcBorders>
              <w:top w:val="nil"/>
              <w:left w:val="nil"/>
              <w:bottom w:val="nil"/>
              <w:right w:val="nil"/>
            </w:tcBorders>
            <w:shd w:val="clear" w:color="000000" w:fill="F2F2F2"/>
            <w:vAlign w:val="center"/>
          </w:tcPr>
          <w:p w14:paraId="02AAB9DF" w14:textId="7E34CAF6"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3,461,013,594.8</w:t>
            </w:r>
          </w:p>
        </w:tc>
      </w:tr>
      <w:tr w:rsidR="00887D16" w:rsidRPr="00FC0913" w14:paraId="6B25AE3D" w14:textId="77777777" w:rsidTr="00AF1E5B">
        <w:trPr>
          <w:trHeight w:val="212"/>
          <w:jc w:val="center"/>
        </w:trPr>
        <w:tc>
          <w:tcPr>
            <w:tcW w:w="5492" w:type="dxa"/>
            <w:tcBorders>
              <w:top w:val="nil"/>
              <w:left w:val="nil"/>
              <w:bottom w:val="nil"/>
              <w:right w:val="nil"/>
            </w:tcBorders>
            <w:shd w:val="clear" w:color="000000" w:fill="F2F2F2"/>
            <w:vAlign w:val="center"/>
          </w:tcPr>
          <w:p w14:paraId="7AFACAD8" w14:textId="2B578221" w:rsidR="00887D16" w:rsidRPr="000B0DE6" w:rsidRDefault="00887D16" w:rsidP="00887D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Vestuario, Blancos, Prendas de Protección y Artículos Deportivos</w:t>
            </w:r>
          </w:p>
        </w:tc>
        <w:tc>
          <w:tcPr>
            <w:tcW w:w="1966" w:type="dxa"/>
            <w:tcBorders>
              <w:top w:val="nil"/>
              <w:left w:val="nil"/>
              <w:bottom w:val="nil"/>
              <w:right w:val="nil"/>
            </w:tcBorders>
            <w:shd w:val="clear" w:color="000000" w:fill="F2F2F2"/>
            <w:vAlign w:val="center"/>
          </w:tcPr>
          <w:p w14:paraId="0244AD45" w14:textId="10B53D6C"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1,618,819,317.5</w:t>
            </w:r>
          </w:p>
        </w:tc>
        <w:tc>
          <w:tcPr>
            <w:tcW w:w="1967" w:type="dxa"/>
            <w:tcBorders>
              <w:top w:val="nil"/>
              <w:left w:val="nil"/>
              <w:bottom w:val="nil"/>
              <w:right w:val="nil"/>
            </w:tcBorders>
            <w:shd w:val="clear" w:color="000000" w:fill="F2F2F2"/>
            <w:vAlign w:val="center"/>
          </w:tcPr>
          <w:p w14:paraId="1FB7D9A7" w14:textId="01199852"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2,343,733,872.9</w:t>
            </w:r>
          </w:p>
        </w:tc>
      </w:tr>
      <w:tr w:rsidR="00887D16" w:rsidRPr="00FC0913" w14:paraId="58F75F70" w14:textId="77777777" w:rsidTr="00AF1E5B">
        <w:trPr>
          <w:trHeight w:val="212"/>
          <w:jc w:val="center"/>
        </w:trPr>
        <w:tc>
          <w:tcPr>
            <w:tcW w:w="5492" w:type="dxa"/>
            <w:tcBorders>
              <w:top w:val="nil"/>
              <w:left w:val="nil"/>
              <w:bottom w:val="nil"/>
              <w:right w:val="nil"/>
            </w:tcBorders>
            <w:shd w:val="clear" w:color="000000" w:fill="F2F2F2"/>
            <w:vAlign w:val="center"/>
          </w:tcPr>
          <w:p w14:paraId="1F9A5173" w14:textId="536DDED9" w:rsidR="00887D16" w:rsidRPr="000B0DE6" w:rsidRDefault="00887D16" w:rsidP="00887D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Herramientas, Refacciones y Accesorios Menores para Consumo</w:t>
            </w:r>
          </w:p>
        </w:tc>
        <w:tc>
          <w:tcPr>
            <w:tcW w:w="1966" w:type="dxa"/>
            <w:tcBorders>
              <w:top w:val="nil"/>
              <w:left w:val="nil"/>
              <w:bottom w:val="nil"/>
              <w:right w:val="nil"/>
            </w:tcBorders>
            <w:shd w:val="clear" w:color="000000" w:fill="F2F2F2"/>
            <w:vAlign w:val="center"/>
          </w:tcPr>
          <w:p w14:paraId="7E3362D8" w14:textId="2EA1CA1E"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1,049,190,781.3</w:t>
            </w:r>
          </w:p>
        </w:tc>
        <w:tc>
          <w:tcPr>
            <w:tcW w:w="1967" w:type="dxa"/>
            <w:tcBorders>
              <w:top w:val="nil"/>
              <w:left w:val="nil"/>
              <w:bottom w:val="nil"/>
              <w:right w:val="nil"/>
            </w:tcBorders>
            <w:shd w:val="clear" w:color="000000" w:fill="F2F2F2"/>
            <w:vAlign w:val="center"/>
          </w:tcPr>
          <w:p w14:paraId="1463EFE8" w14:textId="734B49C7"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1,431,987,335.8</w:t>
            </w:r>
          </w:p>
        </w:tc>
      </w:tr>
      <w:tr w:rsidR="00887D16" w:rsidRPr="00FC0913" w14:paraId="4FF496EC" w14:textId="77777777" w:rsidTr="00AF1E5B">
        <w:trPr>
          <w:trHeight w:val="212"/>
          <w:jc w:val="center"/>
        </w:trPr>
        <w:tc>
          <w:tcPr>
            <w:tcW w:w="5492" w:type="dxa"/>
            <w:tcBorders>
              <w:top w:val="nil"/>
              <w:left w:val="nil"/>
              <w:bottom w:val="nil"/>
              <w:right w:val="nil"/>
            </w:tcBorders>
            <w:shd w:val="clear" w:color="000000" w:fill="F2F2F2"/>
            <w:vAlign w:val="center"/>
          </w:tcPr>
          <w:p w14:paraId="25152275" w14:textId="67069304" w:rsidR="00887D16" w:rsidRPr="000B0DE6" w:rsidRDefault="00887D16" w:rsidP="00887D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Materiales de Administración, Emisión de Documentos y Artículos Oficiales</w:t>
            </w:r>
          </w:p>
        </w:tc>
        <w:tc>
          <w:tcPr>
            <w:tcW w:w="1966" w:type="dxa"/>
            <w:tcBorders>
              <w:top w:val="nil"/>
              <w:left w:val="nil"/>
              <w:bottom w:val="nil"/>
              <w:right w:val="nil"/>
            </w:tcBorders>
            <w:shd w:val="clear" w:color="000000" w:fill="F2F2F2"/>
            <w:vAlign w:val="center"/>
          </w:tcPr>
          <w:p w14:paraId="36D7A305" w14:textId="45965A07"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642,102,104.2</w:t>
            </w:r>
          </w:p>
        </w:tc>
        <w:tc>
          <w:tcPr>
            <w:tcW w:w="1967" w:type="dxa"/>
            <w:tcBorders>
              <w:top w:val="nil"/>
              <w:left w:val="nil"/>
              <w:bottom w:val="nil"/>
              <w:right w:val="nil"/>
            </w:tcBorders>
            <w:shd w:val="clear" w:color="000000" w:fill="F2F2F2"/>
            <w:vAlign w:val="center"/>
          </w:tcPr>
          <w:p w14:paraId="0995B95B" w14:textId="6DD1EAEA"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837,089,642.3</w:t>
            </w:r>
          </w:p>
        </w:tc>
      </w:tr>
      <w:tr w:rsidR="00887D16" w:rsidRPr="005946C5" w14:paraId="48411881" w14:textId="77777777" w:rsidTr="00AF1E5B">
        <w:trPr>
          <w:trHeight w:val="212"/>
          <w:jc w:val="center"/>
        </w:trPr>
        <w:tc>
          <w:tcPr>
            <w:tcW w:w="5492" w:type="dxa"/>
            <w:tcBorders>
              <w:top w:val="nil"/>
              <w:left w:val="nil"/>
              <w:right w:val="nil"/>
            </w:tcBorders>
            <w:shd w:val="clear" w:color="000000" w:fill="F2F2F2"/>
            <w:vAlign w:val="center"/>
          </w:tcPr>
          <w:p w14:paraId="754EC4C8" w14:textId="655F2A7C" w:rsidR="00887D16" w:rsidRPr="000B0DE6" w:rsidRDefault="00887D16" w:rsidP="00887D16">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Alimentos y Utensilios</w:t>
            </w:r>
          </w:p>
        </w:tc>
        <w:tc>
          <w:tcPr>
            <w:tcW w:w="1966" w:type="dxa"/>
            <w:tcBorders>
              <w:top w:val="nil"/>
              <w:left w:val="nil"/>
              <w:right w:val="nil"/>
            </w:tcBorders>
            <w:shd w:val="clear" w:color="000000" w:fill="F2F2F2"/>
            <w:vAlign w:val="center"/>
          </w:tcPr>
          <w:p w14:paraId="69E01FD2" w14:textId="46B41154"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14,034,402.9</w:t>
            </w:r>
          </w:p>
        </w:tc>
        <w:tc>
          <w:tcPr>
            <w:tcW w:w="1967" w:type="dxa"/>
            <w:tcBorders>
              <w:top w:val="nil"/>
              <w:left w:val="nil"/>
              <w:right w:val="nil"/>
            </w:tcBorders>
            <w:shd w:val="clear" w:color="000000" w:fill="F2F2F2"/>
            <w:vAlign w:val="center"/>
          </w:tcPr>
          <w:p w14:paraId="56319C2C" w14:textId="7DC37243" w:rsidR="00887D16" w:rsidRPr="000B0DE6" w:rsidRDefault="00887D16" w:rsidP="00887D16">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21,477,864.4</w:t>
            </w:r>
          </w:p>
        </w:tc>
      </w:tr>
      <w:tr w:rsidR="00887D16" w:rsidRPr="005946C5" w14:paraId="65C1D1D5" w14:textId="77777777" w:rsidTr="00AF1E5B">
        <w:trPr>
          <w:trHeight w:val="212"/>
          <w:jc w:val="center"/>
        </w:trPr>
        <w:tc>
          <w:tcPr>
            <w:tcW w:w="5492" w:type="dxa"/>
            <w:tcBorders>
              <w:top w:val="nil"/>
              <w:left w:val="nil"/>
              <w:bottom w:val="single" w:sz="12" w:space="0" w:color="A6802D"/>
              <w:right w:val="nil"/>
            </w:tcBorders>
            <w:shd w:val="clear" w:color="000000" w:fill="F2F2F2"/>
            <w:vAlign w:val="center"/>
          </w:tcPr>
          <w:p w14:paraId="0455E283" w14:textId="745BB885" w:rsidR="00887D16" w:rsidRPr="000B0DE6" w:rsidRDefault="00887D16" w:rsidP="00887D16">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Almacenes</w:t>
            </w:r>
          </w:p>
        </w:tc>
        <w:tc>
          <w:tcPr>
            <w:tcW w:w="1966" w:type="dxa"/>
            <w:tcBorders>
              <w:top w:val="nil"/>
              <w:left w:val="nil"/>
              <w:bottom w:val="single" w:sz="12" w:space="0" w:color="A6802D"/>
              <w:right w:val="nil"/>
            </w:tcBorders>
            <w:shd w:val="clear" w:color="000000" w:fill="F2F2F2"/>
            <w:vAlign w:val="center"/>
          </w:tcPr>
          <w:p w14:paraId="6DDF604D" w14:textId="5CB87FCC" w:rsidR="00887D16" w:rsidRPr="000B0DE6" w:rsidRDefault="00887D16" w:rsidP="00887D1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23,389,677,470.6</w:t>
            </w:r>
          </w:p>
        </w:tc>
        <w:tc>
          <w:tcPr>
            <w:tcW w:w="1967" w:type="dxa"/>
            <w:tcBorders>
              <w:top w:val="nil"/>
              <w:left w:val="nil"/>
              <w:bottom w:val="single" w:sz="12" w:space="0" w:color="A6802D"/>
              <w:right w:val="nil"/>
            </w:tcBorders>
            <w:shd w:val="clear" w:color="000000" w:fill="F2F2F2"/>
            <w:vAlign w:val="center"/>
          </w:tcPr>
          <w:p w14:paraId="2D7E6A54" w14:textId="19D79EBA" w:rsidR="00887D16" w:rsidRPr="000B0DE6" w:rsidRDefault="00887D16" w:rsidP="00887D16">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26,266,944,269.5</w:t>
            </w:r>
          </w:p>
        </w:tc>
      </w:tr>
      <w:tr w:rsidR="007F7F7B" w:rsidRPr="00274555" w14:paraId="0060A9DA" w14:textId="77777777" w:rsidTr="00AF1E5B">
        <w:trPr>
          <w:trHeight w:val="169"/>
          <w:jc w:val="center"/>
        </w:trPr>
        <w:tc>
          <w:tcPr>
            <w:tcW w:w="5492" w:type="dxa"/>
            <w:tcBorders>
              <w:top w:val="single" w:sz="12" w:space="0" w:color="A6802D"/>
              <w:left w:val="nil"/>
              <w:right w:val="nil"/>
            </w:tcBorders>
            <w:vAlign w:val="center"/>
          </w:tcPr>
          <w:p w14:paraId="579BD6DB" w14:textId="77777777" w:rsidR="007F7F7B" w:rsidRPr="00274555" w:rsidRDefault="007F7F7B"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6" w:type="dxa"/>
            <w:tcBorders>
              <w:top w:val="single" w:sz="12" w:space="0" w:color="A6802D"/>
              <w:left w:val="nil"/>
              <w:right w:val="nil"/>
            </w:tcBorders>
            <w:vAlign w:val="center"/>
          </w:tcPr>
          <w:p w14:paraId="108E80C7" w14:textId="77777777" w:rsidR="007F7F7B" w:rsidRPr="00274555" w:rsidRDefault="007F7F7B" w:rsidP="00B41080">
            <w:pPr>
              <w:spacing w:after="0" w:line="240" w:lineRule="auto"/>
              <w:jc w:val="both"/>
              <w:rPr>
                <w:rFonts w:ascii="Noto Sans" w:eastAsia="Times New Roman" w:hAnsi="Noto Sans" w:cs="Noto Sans"/>
                <w:b/>
                <w:bCs/>
                <w:color w:val="000000"/>
                <w:sz w:val="14"/>
                <w:szCs w:val="14"/>
                <w:lang w:eastAsia="es-MX"/>
              </w:rPr>
            </w:pPr>
          </w:p>
        </w:tc>
        <w:tc>
          <w:tcPr>
            <w:tcW w:w="1967" w:type="dxa"/>
            <w:tcBorders>
              <w:top w:val="single" w:sz="12" w:space="0" w:color="A6802D"/>
              <w:left w:val="nil"/>
              <w:right w:val="nil"/>
            </w:tcBorders>
            <w:vAlign w:val="center"/>
          </w:tcPr>
          <w:p w14:paraId="45EF1760" w14:textId="77777777" w:rsidR="007F7F7B" w:rsidRPr="00274555" w:rsidRDefault="007F7F7B" w:rsidP="00B41080">
            <w:pPr>
              <w:spacing w:after="0" w:line="240" w:lineRule="auto"/>
              <w:jc w:val="both"/>
              <w:rPr>
                <w:rFonts w:ascii="Noto Sans" w:eastAsia="Times New Roman" w:hAnsi="Noto Sans" w:cs="Noto Sans"/>
                <w:b/>
                <w:bCs/>
                <w:color w:val="000000"/>
                <w:sz w:val="14"/>
                <w:szCs w:val="14"/>
                <w:lang w:eastAsia="es-MX"/>
              </w:rPr>
            </w:pPr>
          </w:p>
        </w:tc>
      </w:tr>
    </w:tbl>
    <w:p w14:paraId="4757B19F" w14:textId="77777777" w:rsidR="0067275A" w:rsidRDefault="0067275A" w:rsidP="000237F6">
      <w:pPr>
        <w:pStyle w:val="TEXTONORMAL"/>
      </w:pPr>
    </w:p>
    <w:p w14:paraId="6814FFBE" w14:textId="44F406F2" w:rsidR="00982FBA" w:rsidRDefault="000237F6" w:rsidP="000237F6">
      <w:pPr>
        <w:pStyle w:val="TEXTONORMAL"/>
      </w:pPr>
      <w:r w:rsidRPr="00AE31AE">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3B2FB4B9" w14:textId="77777777" w:rsidR="00B87C93" w:rsidRDefault="00B87C93" w:rsidP="000237F6">
      <w:pPr>
        <w:pStyle w:val="TEXTONORMAL"/>
      </w:pPr>
    </w:p>
    <w:p w14:paraId="77758161" w14:textId="77777777" w:rsidR="00B87C93" w:rsidRDefault="00B87C93" w:rsidP="000237F6">
      <w:pPr>
        <w:pStyle w:val="TEXTONORMAL"/>
      </w:pPr>
    </w:p>
    <w:p w14:paraId="5219AFA5" w14:textId="77777777" w:rsidR="00B87C93" w:rsidRDefault="00B87C93" w:rsidP="000237F6">
      <w:pPr>
        <w:pStyle w:val="TEXTONORMAL"/>
      </w:pPr>
    </w:p>
    <w:p w14:paraId="0BA13A12" w14:textId="77777777" w:rsidR="00B87C93" w:rsidRDefault="00B87C93" w:rsidP="000237F6">
      <w:pPr>
        <w:pStyle w:val="TEXTONORMAL"/>
      </w:pPr>
    </w:p>
    <w:p w14:paraId="27578CF5" w14:textId="77777777" w:rsidR="00B87C93" w:rsidRDefault="00B87C93" w:rsidP="000237F6">
      <w:pPr>
        <w:pStyle w:val="TEXTONORMAL"/>
      </w:pPr>
    </w:p>
    <w:p w14:paraId="4CC7E444" w14:textId="77777777" w:rsidR="00B87C93" w:rsidRDefault="00B87C93" w:rsidP="000237F6">
      <w:pPr>
        <w:pStyle w:val="TEXTONORMAL"/>
      </w:pPr>
    </w:p>
    <w:p w14:paraId="59C323D1" w14:textId="77777777" w:rsidR="00B87C93" w:rsidRDefault="00B87C93" w:rsidP="000237F6">
      <w:pPr>
        <w:pStyle w:val="TEXTONORMAL"/>
      </w:pPr>
    </w:p>
    <w:p w14:paraId="335CEB94" w14:textId="77777777" w:rsidR="00B87C93" w:rsidRDefault="00B87C93" w:rsidP="000237F6">
      <w:pPr>
        <w:pStyle w:val="TEXTONORMAL"/>
      </w:pPr>
    </w:p>
    <w:p w14:paraId="6C4F9A7F" w14:textId="77777777" w:rsidR="00B87C93" w:rsidRDefault="00B87C93" w:rsidP="000237F6">
      <w:pPr>
        <w:pStyle w:val="TEXTONORMAL"/>
      </w:pPr>
    </w:p>
    <w:p w14:paraId="68C613E4" w14:textId="77777777" w:rsidR="00B87C93" w:rsidRDefault="00B87C93" w:rsidP="000237F6">
      <w:pPr>
        <w:pStyle w:val="TEXTONORMAL"/>
      </w:pPr>
    </w:p>
    <w:p w14:paraId="236A24C5" w14:textId="77777777" w:rsidR="00B87C93" w:rsidRDefault="00B87C93" w:rsidP="000237F6">
      <w:pPr>
        <w:pStyle w:val="TEXTONORMAL"/>
      </w:pPr>
    </w:p>
    <w:p w14:paraId="0D1F33BC" w14:textId="77777777" w:rsidR="00AA283C" w:rsidRDefault="00AA283C" w:rsidP="000237F6">
      <w:pPr>
        <w:pStyle w:val="TEXTONORMAL"/>
      </w:pPr>
    </w:p>
    <w:p w14:paraId="0CCD92B2" w14:textId="77777777" w:rsidR="000237F6" w:rsidRDefault="00ED10B2" w:rsidP="00ED1D2E">
      <w:pPr>
        <w:pStyle w:val="TEXTONORMAL"/>
        <w:numPr>
          <w:ilvl w:val="1"/>
          <w:numId w:val="9"/>
        </w:numPr>
        <w:tabs>
          <w:tab w:val="left" w:pos="284"/>
        </w:tabs>
        <w:ind w:left="357" w:hanging="357"/>
        <w:rPr>
          <w:rFonts w:cs="Noto Sans"/>
          <w:szCs w:val="18"/>
        </w:rPr>
      </w:pPr>
      <w:r>
        <w:rPr>
          <w:rFonts w:cs="Noto Sans"/>
          <w:szCs w:val="18"/>
        </w:rPr>
        <w:t>3</w:t>
      </w:r>
      <w:r w:rsidR="000237F6">
        <w:rPr>
          <w:rFonts w:cs="Noto Sans"/>
          <w:szCs w:val="18"/>
        </w:rPr>
        <w:t>.6 Estimación por Pérdida o Deterioro de Activos Circulantes</w:t>
      </w:r>
    </w:p>
    <w:p w14:paraId="45817527" w14:textId="0D8E7D12" w:rsidR="000237F6" w:rsidRDefault="00E35210" w:rsidP="000237F6">
      <w:pPr>
        <w:pStyle w:val="TEXTONORMAL"/>
        <w:tabs>
          <w:tab w:val="left" w:pos="284"/>
        </w:tabs>
        <w:rPr>
          <w:rFonts w:cs="Noto Sans"/>
          <w:szCs w:val="18"/>
        </w:rPr>
      </w:pPr>
      <w:r>
        <w:rPr>
          <w:rFonts w:cs="Noto Sans"/>
          <w:szCs w:val="18"/>
        </w:rPr>
        <w:t>A</w:t>
      </w:r>
      <w:r w:rsidRPr="000F4D76">
        <w:rPr>
          <w:rFonts w:cs="Noto Sans"/>
          <w:szCs w:val="18"/>
        </w:rPr>
        <w:t xml:space="preserve">l </w:t>
      </w:r>
      <w:r w:rsidR="00DD1166" w:rsidRPr="002B3F78">
        <w:rPr>
          <w:rFonts w:cs="Noto Sans"/>
          <w:szCs w:val="18"/>
        </w:rPr>
        <w:t>3</w:t>
      </w:r>
      <w:r w:rsidR="00DD1166">
        <w:rPr>
          <w:rFonts w:cs="Noto Sans"/>
          <w:szCs w:val="18"/>
        </w:rPr>
        <w:t>0</w:t>
      </w:r>
      <w:r w:rsidR="00DD1166" w:rsidRPr="002B3F78">
        <w:rPr>
          <w:rFonts w:cs="Noto Sans"/>
          <w:szCs w:val="18"/>
        </w:rPr>
        <w:t xml:space="preserve"> de </w:t>
      </w:r>
      <w:r w:rsidR="00DD1166">
        <w:rPr>
          <w:rFonts w:cs="Noto Sans"/>
          <w:szCs w:val="18"/>
        </w:rPr>
        <w:t>junio</w:t>
      </w:r>
      <w:r w:rsidR="00DD1166" w:rsidRPr="002B3F78">
        <w:rPr>
          <w:rFonts w:cs="Noto Sans"/>
          <w:szCs w:val="18"/>
        </w:rPr>
        <w:t xml:space="preserve"> </w:t>
      </w:r>
      <w:r w:rsidRPr="000F4D76">
        <w:rPr>
          <w:rFonts w:cs="Noto Sans"/>
          <w:szCs w:val="18"/>
        </w:rPr>
        <w:t>de 2025 y 31 de diciembre de 2024</w:t>
      </w:r>
      <w:r w:rsidR="000237F6" w:rsidRPr="000237F6">
        <w:rPr>
          <w:rFonts w:cs="Noto Sans"/>
          <w:szCs w:val="18"/>
        </w:rPr>
        <w:t>, el rubro de Estimación por Pérdida o Deterioro de Activos Circulantes se integra de la siguiente manera:</w:t>
      </w:r>
    </w:p>
    <w:p w14:paraId="5E3E328E" w14:textId="77777777" w:rsidR="00AA283C" w:rsidRDefault="00AA283C" w:rsidP="000237F6">
      <w:pPr>
        <w:pStyle w:val="TEXTONORMAL"/>
        <w:tabs>
          <w:tab w:val="left" w:pos="284"/>
        </w:tabs>
        <w:rPr>
          <w:rFonts w:cs="Noto Sans"/>
          <w:szCs w:val="18"/>
        </w:rPr>
      </w:pPr>
    </w:p>
    <w:tbl>
      <w:tblPr>
        <w:tblW w:w="0" w:type="auto"/>
        <w:jc w:val="center"/>
        <w:tblCellMar>
          <w:left w:w="70" w:type="dxa"/>
          <w:right w:w="70" w:type="dxa"/>
        </w:tblCellMar>
        <w:tblLook w:val="0480" w:firstRow="0" w:lastRow="0" w:firstColumn="1" w:lastColumn="0" w:noHBand="0" w:noVBand="1"/>
      </w:tblPr>
      <w:tblGrid>
        <w:gridCol w:w="5545"/>
        <w:gridCol w:w="1985"/>
        <w:gridCol w:w="1986"/>
      </w:tblGrid>
      <w:tr w:rsidR="000237F6" w:rsidRPr="005946C5" w14:paraId="758C1D54" w14:textId="77777777" w:rsidTr="00AF1E5B">
        <w:trPr>
          <w:trHeight w:val="73"/>
          <w:jc w:val="center"/>
        </w:trPr>
        <w:tc>
          <w:tcPr>
            <w:tcW w:w="554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B184512" w14:textId="77777777" w:rsidR="000237F6" w:rsidRPr="008E629A" w:rsidRDefault="000237F6"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71" w:type="dxa"/>
            <w:gridSpan w:val="2"/>
            <w:tcBorders>
              <w:top w:val="double" w:sz="12" w:space="0" w:color="A6802D"/>
              <w:left w:val="nil"/>
              <w:bottom w:val="single" w:sz="12" w:space="0" w:color="FFFFFF"/>
            </w:tcBorders>
            <w:shd w:val="clear" w:color="auto" w:fill="A6802D"/>
            <w:vAlign w:val="center"/>
            <w:hideMark/>
          </w:tcPr>
          <w:p w14:paraId="5D1E7C1C" w14:textId="77777777" w:rsidR="000237F6" w:rsidRPr="008E629A" w:rsidRDefault="000237F6"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237F6" w:rsidRPr="005946C5" w14:paraId="041F433E" w14:textId="77777777" w:rsidTr="00AF1E5B">
        <w:trPr>
          <w:trHeight w:val="24"/>
          <w:jc w:val="center"/>
        </w:trPr>
        <w:tc>
          <w:tcPr>
            <w:tcW w:w="5545" w:type="dxa"/>
            <w:vMerge/>
            <w:tcBorders>
              <w:top w:val="single" w:sz="12" w:space="0" w:color="808080"/>
              <w:left w:val="nil"/>
              <w:bottom w:val="triple" w:sz="12" w:space="0" w:color="A6802D"/>
              <w:right w:val="single" w:sz="12" w:space="0" w:color="FFFFFF"/>
            </w:tcBorders>
            <w:shd w:val="clear" w:color="auto" w:fill="A6802D"/>
            <w:vAlign w:val="center"/>
            <w:hideMark/>
          </w:tcPr>
          <w:p w14:paraId="1B4E1395" w14:textId="77777777" w:rsidR="000237F6" w:rsidRPr="008E629A" w:rsidRDefault="000237F6" w:rsidP="00B41080">
            <w:pPr>
              <w:spacing w:after="0" w:line="240" w:lineRule="exact"/>
              <w:jc w:val="center"/>
              <w:rPr>
                <w:rFonts w:ascii="Noto Sans" w:eastAsia="Times New Roman" w:hAnsi="Noto Sans" w:cs="Noto Sans"/>
                <w:b/>
                <w:bCs/>
                <w:color w:val="FFFFFF"/>
                <w:sz w:val="16"/>
                <w:szCs w:val="16"/>
                <w:lang w:eastAsia="es-MX"/>
              </w:rPr>
            </w:pPr>
          </w:p>
        </w:tc>
        <w:tc>
          <w:tcPr>
            <w:tcW w:w="1985" w:type="dxa"/>
            <w:tcBorders>
              <w:top w:val="nil"/>
              <w:left w:val="nil"/>
              <w:bottom w:val="triple" w:sz="12" w:space="0" w:color="A6802D"/>
              <w:right w:val="single" w:sz="12" w:space="0" w:color="FFFFFF"/>
            </w:tcBorders>
            <w:shd w:val="clear" w:color="auto" w:fill="A6802D"/>
            <w:vAlign w:val="center"/>
          </w:tcPr>
          <w:p w14:paraId="1D51FC8B" w14:textId="12838459" w:rsidR="000237F6" w:rsidRPr="008E629A" w:rsidRDefault="0068325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86" w:type="dxa"/>
            <w:tcBorders>
              <w:top w:val="nil"/>
              <w:left w:val="nil"/>
              <w:bottom w:val="triple" w:sz="12" w:space="0" w:color="A6802D"/>
            </w:tcBorders>
            <w:shd w:val="clear" w:color="auto" w:fill="A6802D"/>
            <w:vAlign w:val="center"/>
          </w:tcPr>
          <w:p w14:paraId="6D5229EC" w14:textId="00F429B8" w:rsidR="000237F6" w:rsidRPr="008E629A" w:rsidRDefault="00683258"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4E0995" w:rsidRPr="005946C5" w14:paraId="05983252" w14:textId="77777777" w:rsidTr="00AF1E5B">
        <w:trPr>
          <w:trHeight w:val="250"/>
          <w:jc w:val="center"/>
        </w:trPr>
        <w:tc>
          <w:tcPr>
            <w:tcW w:w="5545" w:type="dxa"/>
            <w:tcBorders>
              <w:top w:val="triple" w:sz="12" w:space="0" w:color="A6802D"/>
              <w:left w:val="nil"/>
              <w:bottom w:val="nil"/>
              <w:right w:val="nil"/>
            </w:tcBorders>
            <w:shd w:val="clear" w:color="000000" w:fill="F2F2F2"/>
            <w:vAlign w:val="center"/>
          </w:tcPr>
          <w:p w14:paraId="3E63426B" w14:textId="52964A90" w:rsidR="004E0995" w:rsidRPr="00ED10B2" w:rsidRDefault="004E0995" w:rsidP="004E09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Cuotas Obrero-Patronales </w:t>
            </w:r>
          </w:p>
        </w:tc>
        <w:tc>
          <w:tcPr>
            <w:tcW w:w="1985" w:type="dxa"/>
            <w:tcBorders>
              <w:top w:val="triple" w:sz="12" w:space="0" w:color="A6802D"/>
              <w:left w:val="nil"/>
              <w:bottom w:val="nil"/>
              <w:right w:val="nil"/>
            </w:tcBorders>
            <w:shd w:val="clear" w:color="000000" w:fill="F2F2F2"/>
            <w:vAlign w:val="center"/>
          </w:tcPr>
          <w:p w14:paraId="00F7D2C0" w14:textId="4EF97261"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-28,748,387,373.8</w:t>
            </w:r>
          </w:p>
        </w:tc>
        <w:tc>
          <w:tcPr>
            <w:tcW w:w="1986" w:type="dxa"/>
            <w:tcBorders>
              <w:top w:val="triple" w:sz="12" w:space="0" w:color="A6802D"/>
              <w:left w:val="nil"/>
              <w:bottom w:val="nil"/>
              <w:right w:val="nil"/>
            </w:tcBorders>
            <w:shd w:val="clear" w:color="000000" w:fill="F2F2F2"/>
            <w:vAlign w:val="center"/>
          </w:tcPr>
          <w:p w14:paraId="3E5CB4FD" w14:textId="44315A0F"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-26,250,304,862.7</w:t>
            </w:r>
          </w:p>
        </w:tc>
      </w:tr>
      <w:tr w:rsidR="004E0995" w:rsidRPr="00FC0913" w14:paraId="60BD907F" w14:textId="77777777" w:rsidTr="00AF1E5B">
        <w:trPr>
          <w:trHeight w:val="250"/>
          <w:jc w:val="center"/>
        </w:trPr>
        <w:tc>
          <w:tcPr>
            <w:tcW w:w="5545" w:type="dxa"/>
            <w:tcBorders>
              <w:top w:val="nil"/>
              <w:left w:val="nil"/>
              <w:bottom w:val="nil"/>
              <w:right w:val="nil"/>
            </w:tcBorders>
            <w:shd w:val="clear" w:color="000000" w:fill="F2F2F2"/>
            <w:vAlign w:val="center"/>
          </w:tcPr>
          <w:p w14:paraId="3ACF1BA7" w14:textId="0C4AFDF3" w:rsidR="004E0995" w:rsidRPr="00ED10B2" w:rsidRDefault="004E0995" w:rsidP="004E09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Multas de Cuotas Obrero-Patronales </w:t>
            </w:r>
          </w:p>
        </w:tc>
        <w:tc>
          <w:tcPr>
            <w:tcW w:w="1985" w:type="dxa"/>
            <w:tcBorders>
              <w:top w:val="nil"/>
              <w:left w:val="nil"/>
              <w:bottom w:val="nil"/>
              <w:right w:val="nil"/>
            </w:tcBorders>
            <w:shd w:val="clear" w:color="000000" w:fill="F2F2F2"/>
            <w:vAlign w:val="center"/>
          </w:tcPr>
          <w:p w14:paraId="3664A16C" w14:textId="40400CD7"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-17,804,124,036.5</w:t>
            </w:r>
          </w:p>
        </w:tc>
        <w:tc>
          <w:tcPr>
            <w:tcW w:w="1986" w:type="dxa"/>
            <w:tcBorders>
              <w:top w:val="nil"/>
              <w:left w:val="nil"/>
              <w:bottom w:val="nil"/>
              <w:right w:val="nil"/>
            </w:tcBorders>
            <w:shd w:val="clear" w:color="000000" w:fill="F2F2F2"/>
            <w:vAlign w:val="center"/>
          </w:tcPr>
          <w:p w14:paraId="4D917836" w14:textId="784E31BE"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-16,395,261,229.8</w:t>
            </w:r>
          </w:p>
        </w:tc>
      </w:tr>
      <w:tr w:rsidR="004E0995" w:rsidRPr="00FC0913" w14:paraId="2D8EAEE8" w14:textId="77777777" w:rsidTr="00AF1E5B">
        <w:trPr>
          <w:trHeight w:val="250"/>
          <w:jc w:val="center"/>
        </w:trPr>
        <w:tc>
          <w:tcPr>
            <w:tcW w:w="5545" w:type="dxa"/>
            <w:tcBorders>
              <w:top w:val="nil"/>
              <w:left w:val="nil"/>
              <w:bottom w:val="nil"/>
              <w:right w:val="nil"/>
            </w:tcBorders>
            <w:shd w:val="clear" w:color="000000" w:fill="F2F2F2"/>
            <w:vAlign w:val="center"/>
          </w:tcPr>
          <w:p w14:paraId="635D5304" w14:textId="6109C118" w:rsidR="004E0995" w:rsidRPr="00ED10B2" w:rsidRDefault="004E0995" w:rsidP="004E0995">
            <w:pPr>
              <w:spacing w:after="0" w:line="240" w:lineRule="auto"/>
              <w:jc w:val="both"/>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Subtotal Estimaciones para Cuentas Incobrables Ingresos de Gestión </w:t>
            </w:r>
          </w:p>
        </w:tc>
        <w:tc>
          <w:tcPr>
            <w:tcW w:w="1985" w:type="dxa"/>
            <w:tcBorders>
              <w:top w:val="nil"/>
              <w:left w:val="nil"/>
              <w:bottom w:val="nil"/>
              <w:right w:val="nil"/>
            </w:tcBorders>
            <w:shd w:val="clear" w:color="000000" w:fill="F2F2F2"/>
            <w:vAlign w:val="center"/>
          </w:tcPr>
          <w:p w14:paraId="0E46BC76" w14:textId="59305A9D" w:rsidR="004E0995" w:rsidRPr="00ED10B2" w:rsidRDefault="004E0995" w:rsidP="004E09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-46,552,511,410.3</w:t>
            </w:r>
          </w:p>
        </w:tc>
        <w:tc>
          <w:tcPr>
            <w:tcW w:w="1986" w:type="dxa"/>
            <w:tcBorders>
              <w:top w:val="nil"/>
              <w:left w:val="nil"/>
              <w:bottom w:val="nil"/>
              <w:right w:val="nil"/>
            </w:tcBorders>
            <w:shd w:val="clear" w:color="000000" w:fill="F2F2F2"/>
            <w:vAlign w:val="center"/>
          </w:tcPr>
          <w:p w14:paraId="4AB8C5F2" w14:textId="0F488096" w:rsidR="004E0995" w:rsidRPr="00ED10B2" w:rsidRDefault="004E0995" w:rsidP="004E09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-42,645,566,092.5</w:t>
            </w:r>
          </w:p>
        </w:tc>
      </w:tr>
      <w:tr w:rsidR="004E0995" w:rsidRPr="00FC0913" w14:paraId="18025028" w14:textId="77777777" w:rsidTr="00AF1E5B">
        <w:trPr>
          <w:trHeight w:val="250"/>
          <w:jc w:val="center"/>
        </w:trPr>
        <w:tc>
          <w:tcPr>
            <w:tcW w:w="5545" w:type="dxa"/>
            <w:tcBorders>
              <w:top w:val="nil"/>
              <w:left w:val="nil"/>
              <w:bottom w:val="nil"/>
              <w:right w:val="nil"/>
            </w:tcBorders>
            <w:shd w:val="clear" w:color="000000" w:fill="F2F2F2"/>
            <w:vAlign w:val="center"/>
          </w:tcPr>
          <w:p w14:paraId="55D8B387" w14:textId="02B80654" w:rsidR="004E0995" w:rsidRPr="00ED10B2" w:rsidRDefault="004E0995" w:rsidP="004E09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Deudores Diversos</w:t>
            </w:r>
          </w:p>
        </w:tc>
        <w:tc>
          <w:tcPr>
            <w:tcW w:w="1985" w:type="dxa"/>
            <w:tcBorders>
              <w:top w:val="nil"/>
              <w:left w:val="nil"/>
              <w:bottom w:val="nil"/>
              <w:right w:val="nil"/>
            </w:tcBorders>
            <w:shd w:val="clear" w:color="000000" w:fill="F2F2F2"/>
            <w:vAlign w:val="center"/>
          </w:tcPr>
          <w:p w14:paraId="756C1330" w14:textId="3CF12E57"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-3,353,580,325.7</w:t>
            </w:r>
          </w:p>
        </w:tc>
        <w:tc>
          <w:tcPr>
            <w:tcW w:w="1986" w:type="dxa"/>
            <w:tcBorders>
              <w:top w:val="nil"/>
              <w:left w:val="nil"/>
              <w:bottom w:val="nil"/>
              <w:right w:val="nil"/>
            </w:tcBorders>
            <w:shd w:val="clear" w:color="000000" w:fill="F2F2F2"/>
            <w:vAlign w:val="center"/>
          </w:tcPr>
          <w:p w14:paraId="4E290DC6" w14:textId="75ECC401"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-3,243,618,864.7</w:t>
            </w:r>
          </w:p>
        </w:tc>
      </w:tr>
      <w:tr w:rsidR="004E0995" w:rsidRPr="00FC0913" w14:paraId="564DFE23" w14:textId="77777777" w:rsidTr="00AF1E5B">
        <w:trPr>
          <w:trHeight w:val="250"/>
          <w:jc w:val="center"/>
        </w:trPr>
        <w:tc>
          <w:tcPr>
            <w:tcW w:w="5545" w:type="dxa"/>
            <w:tcBorders>
              <w:top w:val="nil"/>
              <w:left w:val="nil"/>
              <w:bottom w:val="nil"/>
              <w:right w:val="nil"/>
            </w:tcBorders>
            <w:shd w:val="clear" w:color="000000" w:fill="F2F2F2"/>
            <w:vAlign w:val="center"/>
          </w:tcPr>
          <w:p w14:paraId="2BC9BF3C" w14:textId="7FD9F901" w:rsidR="004E0995" w:rsidRPr="00ED10B2" w:rsidRDefault="004E0995" w:rsidP="004E0995">
            <w:pPr>
              <w:spacing w:after="0" w:line="240" w:lineRule="auto"/>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Subtotal Estimaciones para Cuentas Incobrables por Derechos a Recibir Efectivo o Equivalentes </w:t>
            </w:r>
          </w:p>
        </w:tc>
        <w:tc>
          <w:tcPr>
            <w:tcW w:w="1985" w:type="dxa"/>
            <w:tcBorders>
              <w:top w:val="nil"/>
              <w:left w:val="nil"/>
              <w:bottom w:val="nil"/>
              <w:right w:val="nil"/>
            </w:tcBorders>
            <w:shd w:val="clear" w:color="000000" w:fill="F2F2F2"/>
            <w:vAlign w:val="center"/>
          </w:tcPr>
          <w:p w14:paraId="75BA3D2E" w14:textId="05E677F4" w:rsidR="004E0995" w:rsidRPr="00ED10B2" w:rsidRDefault="004E0995" w:rsidP="004E09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-49,906,091,736.0</w:t>
            </w:r>
          </w:p>
        </w:tc>
        <w:tc>
          <w:tcPr>
            <w:tcW w:w="1986" w:type="dxa"/>
            <w:tcBorders>
              <w:top w:val="nil"/>
              <w:left w:val="nil"/>
              <w:bottom w:val="nil"/>
              <w:right w:val="nil"/>
            </w:tcBorders>
            <w:shd w:val="clear" w:color="000000" w:fill="F2F2F2"/>
            <w:vAlign w:val="center"/>
          </w:tcPr>
          <w:p w14:paraId="04CA0C7E" w14:textId="3FB33818" w:rsidR="004E0995" w:rsidRPr="00ED10B2" w:rsidRDefault="004E0995" w:rsidP="004E09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-45,889,184,957.2</w:t>
            </w:r>
          </w:p>
        </w:tc>
      </w:tr>
      <w:tr w:rsidR="004E0995" w:rsidRPr="005946C5" w14:paraId="2E17B76B" w14:textId="77777777" w:rsidTr="00AF1E5B">
        <w:trPr>
          <w:trHeight w:val="250"/>
          <w:jc w:val="center"/>
        </w:trPr>
        <w:tc>
          <w:tcPr>
            <w:tcW w:w="5545" w:type="dxa"/>
            <w:tcBorders>
              <w:top w:val="nil"/>
              <w:left w:val="nil"/>
              <w:right w:val="nil"/>
            </w:tcBorders>
            <w:shd w:val="clear" w:color="000000" w:fill="F2F2F2"/>
            <w:vAlign w:val="center"/>
          </w:tcPr>
          <w:p w14:paraId="091B5FAE" w14:textId="7A1CE3E4" w:rsidR="004E0995" w:rsidRPr="00ED10B2" w:rsidRDefault="004E0995" w:rsidP="004E0995">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Estimación por Deterioro de Inventarios</w:t>
            </w:r>
            <w:r>
              <w:rPr>
                <w:rFonts w:ascii="Noto Sans" w:hAnsi="Noto Sans" w:cs="Noto Sans"/>
                <w:b/>
                <w:bCs/>
                <w:color w:val="000000"/>
                <w:sz w:val="15"/>
                <w:szCs w:val="15"/>
              </w:rPr>
              <w:t xml:space="preserve"> </w:t>
            </w:r>
          </w:p>
        </w:tc>
        <w:tc>
          <w:tcPr>
            <w:tcW w:w="1985" w:type="dxa"/>
            <w:tcBorders>
              <w:top w:val="nil"/>
              <w:left w:val="nil"/>
              <w:right w:val="nil"/>
            </w:tcBorders>
            <w:shd w:val="clear" w:color="000000" w:fill="F2F2F2"/>
            <w:vAlign w:val="center"/>
          </w:tcPr>
          <w:p w14:paraId="7A325D51" w14:textId="5A485150"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-1,075,485,090.2</w:t>
            </w:r>
          </w:p>
        </w:tc>
        <w:tc>
          <w:tcPr>
            <w:tcW w:w="1986" w:type="dxa"/>
            <w:tcBorders>
              <w:top w:val="nil"/>
              <w:left w:val="nil"/>
              <w:right w:val="nil"/>
            </w:tcBorders>
            <w:shd w:val="clear" w:color="000000" w:fill="F2F2F2"/>
            <w:vAlign w:val="center"/>
          </w:tcPr>
          <w:p w14:paraId="7932D4B9" w14:textId="280E3D30" w:rsidR="004E0995" w:rsidRPr="00ED10B2" w:rsidRDefault="004E0995" w:rsidP="004E099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-1,204,495,938.8</w:t>
            </w:r>
          </w:p>
        </w:tc>
      </w:tr>
      <w:tr w:rsidR="004E0995" w:rsidRPr="005946C5" w14:paraId="7994332D" w14:textId="77777777" w:rsidTr="00AF1E5B">
        <w:trPr>
          <w:trHeight w:val="250"/>
          <w:jc w:val="center"/>
        </w:trPr>
        <w:tc>
          <w:tcPr>
            <w:tcW w:w="5545" w:type="dxa"/>
            <w:tcBorders>
              <w:top w:val="nil"/>
              <w:left w:val="nil"/>
              <w:bottom w:val="single" w:sz="12" w:space="0" w:color="A6802D"/>
              <w:right w:val="nil"/>
            </w:tcBorders>
            <w:shd w:val="clear" w:color="000000" w:fill="F2F2F2"/>
            <w:vAlign w:val="center"/>
          </w:tcPr>
          <w:p w14:paraId="5EE4413C" w14:textId="5FDFEB83" w:rsidR="004E0995" w:rsidRPr="00ED10B2" w:rsidRDefault="004E0995" w:rsidP="004E0995">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Estimaciones por Pérdida o Deterioro de Activos Circulantes</w:t>
            </w:r>
          </w:p>
        </w:tc>
        <w:tc>
          <w:tcPr>
            <w:tcW w:w="1985" w:type="dxa"/>
            <w:tcBorders>
              <w:top w:val="nil"/>
              <w:left w:val="nil"/>
              <w:bottom w:val="single" w:sz="12" w:space="0" w:color="A6802D"/>
              <w:right w:val="nil"/>
            </w:tcBorders>
            <w:shd w:val="clear" w:color="000000" w:fill="F2F2F2"/>
            <w:vAlign w:val="center"/>
          </w:tcPr>
          <w:p w14:paraId="75A791EE" w14:textId="5C8D188C" w:rsidR="004E0995" w:rsidRPr="00ED10B2" w:rsidRDefault="004E0995" w:rsidP="004E09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-50,981,576,826.2</w:t>
            </w:r>
          </w:p>
        </w:tc>
        <w:tc>
          <w:tcPr>
            <w:tcW w:w="1986" w:type="dxa"/>
            <w:tcBorders>
              <w:top w:val="nil"/>
              <w:left w:val="nil"/>
              <w:bottom w:val="single" w:sz="12" w:space="0" w:color="A6802D"/>
              <w:right w:val="nil"/>
            </w:tcBorders>
            <w:shd w:val="clear" w:color="000000" w:fill="F2F2F2"/>
            <w:vAlign w:val="center"/>
          </w:tcPr>
          <w:p w14:paraId="38965052" w14:textId="11D159F2" w:rsidR="004E0995" w:rsidRPr="00ED10B2" w:rsidRDefault="004E0995" w:rsidP="004E09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-47,093,680,896.0</w:t>
            </w:r>
          </w:p>
        </w:tc>
      </w:tr>
      <w:tr w:rsidR="000237F6" w:rsidRPr="00274555" w14:paraId="37F32FED" w14:textId="77777777" w:rsidTr="00AF1E5B">
        <w:trPr>
          <w:trHeight w:val="199"/>
          <w:jc w:val="center"/>
        </w:trPr>
        <w:tc>
          <w:tcPr>
            <w:tcW w:w="5545" w:type="dxa"/>
            <w:tcBorders>
              <w:top w:val="single" w:sz="12" w:space="0" w:color="A6802D"/>
              <w:left w:val="nil"/>
              <w:right w:val="nil"/>
            </w:tcBorders>
            <w:vAlign w:val="center"/>
          </w:tcPr>
          <w:p w14:paraId="457C39F0" w14:textId="77777777" w:rsidR="000237F6" w:rsidRPr="00274555" w:rsidRDefault="000237F6"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85" w:type="dxa"/>
            <w:tcBorders>
              <w:top w:val="single" w:sz="12" w:space="0" w:color="A6802D"/>
              <w:left w:val="nil"/>
              <w:right w:val="nil"/>
            </w:tcBorders>
            <w:vAlign w:val="center"/>
          </w:tcPr>
          <w:p w14:paraId="49C777F1" w14:textId="77777777" w:rsidR="000237F6" w:rsidRPr="00274555" w:rsidRDefault="000237F6" w:rsidP="00B41080">
            <w:pPr>
              <w:spacing w:after="0" w:line="240" w:lineRule="auto"/>
              <w:jc w:val="both"/>
              <w:rPr>
                <w:rFonts w:ascii="Noto Sans" w:eastAsia="Times New Roman" w:hAnsi="Noto Sans" w:cs="Noto Sans"/>
                <w:b/>
                <w:bCs/>
                <w:color w:val="000000"/>
                <w:sz w:val="14"/>
                <w:szCs w:val="14"/>
                <w:lang w:eastAsia="es-MX"/>
              </w:rPr>
            </w:pPr>
          </w:p>
        </w:tc>
        <w:tc>
          <w:tcPr>
            <w:tcW w:w="1986" w:type="dxa"/>
            <w:tcBorders>
              <w:top w:val="single" w:sz="12" w:space="0" w:color="A6802D"/>
              <w:left w:val="nil"/>
              <w:right w:val="nil"/>
            </w:tcBorders>
            <w:vAlign w:val="center"/>
          </w:tcPr>
          <w:p w14:paraId="04512488" w14:textId="77777777" w:rsidR="000237F6" w:rsidRPr="00274555" w:rsidRDefault="000237F6" w:rsidP="00B41080">
            <w:pPr>
              <w:spacing w:after="0" w:line="240" w:lineRule="auto"/>
              <w:jc w:val="both"/>
              <w:rPr>
                <w:rFonts w:ascii="Noto Sans" w:eastAsia="Times New Roman" w:hAnsi="Noto Sans" w:cs="Noto Sans"/>
                <w:b/>
                <w:bCs/>
                <w:color w:val="000000"/>
                <w:sz w:val="14"/>
                <w:szCs w:val="14"/>
                <w:lang w:eastAsia="es-MX"/>
              </w:rPr>
            </w:pPr>
          </w:p>
        </w:tc>
      </w:tr>
    </w:tbl>
    <w:p w14:paraId="0C6FABB5" w14:textId="77777777" w:rsidR="00271436" w:rsidRDefault="00271436" w:rsidP="00D3766D">
      <w:pPr>
        <w:pStyle w:val="SUBTITULO2"/>
        <w:rPr>
          <w:rFonts w:ascii="Noto Sans" w:hAnsi="Noto Sans" w:cs="Noto Sans"/>
        </w:rPr>
      </w:pPr>
    </w:p>
    <w:p w14:paraId="7285A64F" w14:textId="7DB46410" w:rsidR="00D3766D" w:rsidRDefault="00D3766D" w:rsidP="00D3766D">
      <w:pPr>
        <w:pStyle w:val="SUBTITULO2"/>
        <w:rPr>
          <w:rFonts w:ascii="Noto Sans" w:hAnsi="Noto Sans" w:cs="Noto Sans"/>
        </w:rPr>
      </w:pPr>
      <w:r w:rsidRPr="00E70EB0">
        <w:rPr>
          <w:rFonts w:ascii="Noto Sans" w:hAnsi="Noto Sans" w:cs="Noto Sans"/>
        </w:rPr>
        <w:t>activo</w:t>
      </w:r>
      <w:r>
        <w:rPr>
          <w:rFonts w:ascii="Noto Sans" w:hAnsi="Noto Sans" w:cs="Noto Sans"/>
        </w:rPr>
        <w:t xml:space="preserve"> NO</w:t>
      </w:r>
      <w:r w:rsidRPr="00E70EB0">
        <w:rPr>
          <w:rFonts w:ascii="Noto Sans" w:hAnsi="Noto Sans" w:cs="Noto Sans"/>
        </w:rPr>
        <w:t xml:space="preserve"> circulante</w:t>
      </w:r>
    </w:p>
    <w:p w14:paraId="2C558CE6" w14:textId="77777777" w:rsidR="00271436" w:rsidRPr="00271436" w:rsidRDefault="00271436" w:rsidP="00271436">
      <w:pPr>
        <w:pStyle w:val="TEXTONORMAL"/>
      </w:pPr>
    </w:p>
    <w:p w14:paraId="0C4A06A2" w14:textId="0731322C" w:rsidR="00D3766D" w:rsidRPr="00D3766D" w:rsidRDefault="00947EC7" w:rsidP="00ED1D2E">
      <w:pPr>
        <w:pStyle w:val="TEXTONORMAL"/>
        <w:numPr>
          <w:ilvl w:val="0"/>
          <w:numId w:val="16"/>
        </w:numPr>
        <w:ind w:left="357" w:hanging="357"/>
      </w:pPr>
      <w:r>
        <w:rPr>
          <w:rFonts w:cs="Noto Sans"/>
          <w:szCs w:val="18"/>
        </w:rPr>
        <w:t>3</w:t>
      </w:r>
      <w:r w:rsidR="00D3766D">
        <w:rPr>
          <w:rFonts w:cs="Noto Sans"/>
          <w:szCs w:val="18"/>
        </w:rPr>
        <w:t>.</w:t>
      </w:r>
      <w:r w:rsidR="003E202D">
        <w:rPr>
          <w:rFonts w:cs="Noto Sans"/>
          <w:szCs w:val="18"/>
        </w:rPr>
        <w:t>7</w:t>
      </w:r>
      <w:r w:rsidR="00D3766D">
        <w:rPr>
          <w:rFonts w:cs="Noto Sans"/>
          <w:szCs w:val="18"/>
        </w:rPr>
        <w:t xml:space="preserve"> </w:t>
      </w:r>
      <w:r w:rsidR="006954EE">
        <w:rPr>
          <w:rFonts w:cs="Noto Sans"/>
          <w:szCs w:val="18"/>
        </w:rPr>
        <w:t xml:space="preserve">Inversiones Financieras a Largo Plazo </w:t>
      </w:r>
    </w:p>
    <w:p w14:paraId="0EED37EA" w14:textId="3E095454" w:rsidR="00D3766D" w:rsidRDefault="00E35210" w:rsidP="00D3766D">
      <w:pPr>
        <w:pStyle w:val="TEXTONORMAL"/>
      </w:pPr>
      <w:r>
        <w:rPr>
          <w:rFonts w:cs="Noto Sans"/>
          <w:szCs w:val="18"/>
        </w:rPr>
        <w:t>A</w:t>
      </w:r>
      <w:r w:rsidRPr="000F4D76">
        <w:rPr>
          <w:rFonts w:cs="Noto Sans"/>
          <w:szCs w:val="18"/>
        </w:rPr>
        <w:t xml:space="preserve">l </w:t>
      </w:r>
      <w:r w:rsidR="00BD7D97" w:rsidRPr="002B3F78">
        <w:rPr>
          <w:rFonts w:cs="Noto Sans"/>
          <w:szCs w:val="18"/>
        </w:rPr>
        <w:t>3</w:t>
      </w:r>
      <w:r w:rsidR="00BD7D97">
        <w:rPr>
          <w:rFonts w:cs="Noto Sans"/>
          <w:szCs w:val="18"/>
        </w:rPr>
        <w:t>0</w:t>
      </w:r>
      <w:r w:rsidR="00BD7D97" w:rsidRPr="002B3F78">
        <w:rPr>
          <w:rFonts w:cs="Noto Sans"/>
          <w:szCs w:val="18"/>
        </w:rPr>
        <w:t xml:space="preserve"> de </w:t>
      </w:r>
      <w:r w:rsidR="00BD7D97">
        <w:rPr>
          <w:rFonts w:cs="Noto Sans"/>
          <w:szCs w:val="18"/>
        </w:rPr>
        <w:t>junio</w:t>
      </w:r>
      <w:r w:rsidR="00BD7D97" w:rsidRPr="002B3F78">
        <w:rPr>
          <w:rFonts w:cs="Noto Sans"/>
          <w:szCs w:val="18"/>
        </w:rPr>
        <w:t xml:space="preserve"> </w:t>
      </w:r>
      <w:r w:rsidRPr="000F4D76">
        <w:rPr>
          <w:rFonts w:cs="Noto Sans"/>
          <w:szCs w:val="18"/>
        </w:rPr>
        <w:t>de 2025 y 31 de diciembre de 2024</w:t>
      </w:r>
      <w:r w:rsidR="00D3766D" w:rsidRPr="00D3766D">
        <w:t>, este rubro se integra de la siguiente manera:</w:t>
      </w:r>
    </w:p>
    <w:p w14:paraId="3D86D54A" w14:textId="77777777" w:rsidR="00A35517" w:rsidRPr="00D3766D" w:rsidRDefault="00A35517" w:rsidP="00D3766D">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C93DBB" w:rsidRPr="005946C5" w14:paraId="325B0407"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8B14415" w14:textId="77777777" w:rsidR="00C93DBB" w:rsidRPr="008E629A" w:rsidRDefault="00C93DB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38DCF6B" w14:textId="77777777" w:rsidR="00C93DBB" w:rsidRPr="008E629A" w:rsidRDefault="00C93DBB"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C93DBB" w:rsidRPr="005946C5" w14:paraId="67E6B733"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8B6574F" w14:textId="77777777" w:rsidR="00C93DBB" w:rsidRPr="008E629A" w:rsidRDefault="00C93DBB"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6405894" w14:textId="33FFBBAF" w:rsidR="00C93DBB" w:rsidRPr="008E629A" w:rsidRDefault="00304931"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D92E84D" w14:textId="07D5FCBE" w:rsidR="00C93DBB" w:rsidRPr="008E629A" w:rsidRDefault="00304931"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370EE3" w:rsidRPr="005946C5" w14:paraId="1447239A" w14:textId="77777777" w:rsidTr="00947EC7">
        <w:trPr>
          <w:trHeight w:val="283"/>
          <w:jc w:val="center"/>
        </w:trPr>
        <w:tc>
          <w:tcPr>
            <w:tcW w:w="5475" w:type="dxa"/>
            <w:tcBorders>
              <w:top w:val="triple" w:sz="12" w:space="0" w:color="A6802D"/>
              <w:left w:val="nil"/>
              <w:bottom w:val="nil"/>
              <w:right w:val="nil"/>
            </w:tcBorders>
            <w:shd w:val="clear" w:color="000000" w:fill="F2F2F2"/>
            <w:vAlign w:val="center"/>
          </w:tcPr>
          <w:p w14:paraId="190F0894" w14:textId="60C80ACE" w:rsidR="00370EE3" w:rsidRPr="00947EC7" w:rsidRDefault="00370EE3" w:rsidP="00370EE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Instrumentos Financieros </w:t>
            </w:r>
            <w:r>
              <w:rPr>
                <w:rFonts w:ascii="Noto Sans" w:hAnsi="Noto Sans" w:cs="Noto Sans"/>
                <w:b/>
                <w:bCs/>
                <w:color w:val="000000"/>
                <w:sz w:val="15"/>
                <w:szCs w:val="15"/>
              </w:rPr>
              <w:t>(3.7.a)</w:t>
            </w:r>
            <w:r>
              <w:rPr>
                <w:rFonts w:ascii="Noto Sans" w:hAnsi="Noto Sans" w:cs="Noto Sans"/>
                <w:color w:val="000000"/>
                <w:sz w:val="15"/>
                <w:szCs w:val="15"/>
              </w:rPr>
              <w:t xml:space="preserve"> </w:t>
            </w:r>
          </w:p>
        </w:tc>
        <w:tc>
          <w:tcPr>
            <w:tcW w:w="1960" w:type="dxa"/>
            <w:tcBorders>
              <w:top w:val="triple" w:sz="12" w:space="0" w:color="A6802D"/>
              <w:left w:val="nil"/>
              <w:bottom w:val="nil"/>
              <w:right w:val="nil"/>
            </w:tcBorders>
            <w:shd w:val="clear" w:color="000000" w:fill="F2F2F2"/>
            <w:vAlign w:val="center"/>
          </w:tcPr>
          <w:p w14:paraId="70C8E291" w14:textId="64283E37" w:rsidR="00370EE3" w:rsidRPr="00947EC7" w:rsidRDefault="00370EE3" w:rsidP="00370EE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379,500,187,027.4</w:t>
            </w:r>
          </w:p>
        </w:tc>
        <w:tc>
          <w:tcPr>
            <w:tcW w:w="1961" w:type="dxa"/>
            <w:tcBorders>
              <w:top w:val="triple" w:sz="12" w:space="0" w:color="A6802D"/>
              <w:left w:val="nil"/>
              <w:bottom w:val="nil"/>
              <w:right w:val="nil"/>
            </w:tcBorders>
            <w:shd w:val="clear" w:color="000000" w:fill="F2F2F2"/>
            <w:vAlign w:val="center"/>
          </w:tcPr>
          <w:p w14:paraId="65A8B57B" w14:textId="16D8759B" w:rsidR="00370EE3" w:rsidRPr="00947EC7" w:rsidRDefault="00370EE3" w:rsidP="00370EE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367,086,450,574.2</w:t>
            </w:r>
          </w:p>
        </w:tc>
      </w:tr>
      <w:tr w:rsidR="00370EE3" w:rsidRPr="00FC0913" w14:paraId="498CC382" w14:textId="77777777" w:rsidTr="00947EC7">
        <w:trPr>
          <w:trHeight w:val="283"/>
          <w:jc w:val="center"/>
        </w:trPr>
        <w:tc>
          <w:tcPr>
            <w:tcW w:w="5475" w:type="dxa"/>
            <w:tcBorders>
              <w:top w:val="nil"/>
              <w:left w:val="nil"/>
              <w:bottom w:val="nil"/>
              <w:right w:val="nil"/>
            </w:tcBorders>
            <w:shd w:val="clear" w:color="000000" w:fill="F2F2F2"/>
            <w:vAlign w:val="center"/>
          </w:tcPr>
          <w:p w14:paraId="082D7E5A" w14:textId="55872905" w:rsidR="00370EE3" w:rsidRPr="00947EC7" w:rsidRDefault="00370EE3" w:rsidP="00370EE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Participaciones y Aportaciones de Capital </w:t>
            </w:r>
            <w:r>
              <w:rPr>
                <w:rFonts w:ascii="Noto Sans" w:hAnsi="Noto Sans" w:cs="Noto Sans"/>
                <w:b/>
                <w:bCs/>
                <w:color w:val="000000"/>
                <w:sz w:val="15"/>
                <w:szCs w:val="15"/>
              </w:rPr>
              <w:t>(3.7.b)</w:t>
            </w:r>
          </w:p>
        </w:tc>
        <w:tc>
          <w:tcPr>
            <w:tcW w:w="1960" w:type="dxa"/>
            <w:tcBorders>
              <w:top w:val="nil"/>
              <w:left w:val="nil"/>
              <w:bottom w:val="nil"/>
              <w:right w:val="nil"/>
            </w:tcBorders>
            <w:shd w:val="clear" w:color="000000" w:fill="F2F2F2"/>
            <w:vAlign w:val="center"/>
          </w:tcPr>
          <w:p w14:paraId="5454E709" w14:textId="327B2679" w:rsidR="00370EE3" w:rsidRPr="00947EC7" w:rsidRDefault="00370EE3" w:rsidP="00370EE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13,859,145,834.9</w:t>
            </w:r>
          </w:p>
        </w:tc>
        <w:tc>
          <w:tcPr>
            <w:tcW w:w="1961" w:type="dxa"/>
            <w:tcBorders>
              <w:top w:val="nil"/>
              <w:left w:val="nil"/>
              <w:bottom w:val="nil"/>
              <w:right w:val="nil"/>
            </w:tcBorders>
            <w:shd w:val="clear" w:color="000000" w:fill="F2F2F2"/>
            <w:vAlign w:val="center"/>
          </w:tcPr>
          <w:p w14:paraId="583021C7" w14:textId="53DF6CD8" w:rsidR="00370EE3" w:rsidRPr="00947EC7" w:rsidRDefault="00370EE3" w:rsidP="00370EE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14,436,384,677.6</w:t>
            </w:r>
          </w:p>
        </w:tc>
      </w:tr>
      <w:tr w:rsidR="00370EE3" w:rsidRPr="00FC0913" w14:paraId="469F3358" w14:textId="77777777" w:rsidTr="00947EC7">
        <w:trPr>
          <w:trHeight w:val="283"/>
          <w:jc w:val="center"/>
        </w:trPr>
        <w:tc>
          <w:tcPr>
            <w:tcW w:w="5475" w:type="dxa"/>
            <w:tcBorders>
              <w:top w:val="nil"/>
              <w:left w:val="nil"/>
              <w:bottom w:val="nil"/>
              <w:right w:val="nil"/>
            </w:tcBorders>
            <w:shd w:val="clear" w:color="000000" w:fill="F2F2F2"/>
            <w:vAlign w:val="center"/>
          </w:tcPr>
          <w:p w14:paraId="38352180" w14:textId="14C98C2C" w:rsidR="00370EE3" w:rsidRPr="00947EC7" w:rsidRDefault="00370EE3" w:rsidP="00370EE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Fideicomisos, Mandatos y Contratos Análogos </w:t>
            </w:r>
            <w:r>
              <w:rPr>
                <w:rFonts w:ascii="Noto Sans" w:hAnsi="Noto Sans" w:cs="Noto Sans"/>
                <w:b/>
                <w:bCs/>
                <w:color w:val="000000"/>
                <w:sz w:val="15"/>
                <w:szCs w:val="15"/>
              </w:rPr>
              <w:t>(3.7.c)</w:t>
            </w:r>
          </w:p>
        </w:tc>
        <w:tc>
          <w:tcPr>
            <w:tcW w:w="1960" w:type="dxa"/>
            <w:tcBorders>
              <w:top w:val="nil"/>
              <w:left w:val="nil"/>
              <w:bottom w:val="nil"/>
              <w:right w:val="nil"/>
            </w:tcBorders>
            <w:shd w:val="clear" w:color="000000" w:fill="F2F2F2"/>
            <w:vAlign w:val="center"/>
          </w:tcPr>
          <w:p w14:paraId="69530C15" w14:textId="76A6E631" w:rsidR="00370EE3" w:rsidRPr="00947EC7" w:rsidRDefault="00370EE3" w:rsidP="00370EE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1,139,785,342.5</w:t>
            </w:r>
          </w:p>
        </w:tc>
        <w:tc>
          <w:tcPr>
            <w:tcW w:w="1961" w:type="dxa"/>
            <w:tcBorders>
              <w:top w:val="nil"/>
              <w:left w:val="nil"/>
              <w:bottom w:val="nil"/>
              <w:right w:val="nil"/>
            </w:tcBorders>
            <w:shd w:val="clear" w:color="000000" w:fill="F2F2F2"/>
            <w:vAlign w:val="center"/>
          </w:tcPr>
          <w:p w14:paraId="320360A4" w14:textId="2EDF8713" w:rsidR="00370EE3" w:rsidRPr="00947EC7" w:rsidRDefault="00370EE3" w:rsidP="00370EE3">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892,375,389.2</w:t>
            </w:r>
          </w:p>
        </w:tc>
      </w:tr>
      <w:tr w:rsidR="00370EE3" w:rsidRPr="005946C5" w14:paraId="48C3CBA5" w14:textId="77777777" w:rsidTr="00947EC7">
        <w:trPr>
          <w:trHeight w:val="283"/>
          <w:jc w:val="center"/>
        </w:trPr>
        <w:tc>
          <w:tcPr>
            <w:tcW w:w="5475" w:type="dxa"/>
            <w:tcBorders>
              <w:top w:val="nil"/>
              <w:left w:val="nil"/>
              <w:bottom w:val="single" w:sz="12" w:space="0" w:color="A6802D"/>
              <w:right w:val="nil"/>
            </w:tcBorders>
            <w:shd w:val="clear" w:color="000000" w:fill="F2F2F2"/>
            <w:vAlign w:val="center"/>
          </w:tcPr>
          <w:p w14:paraId="6481808C" w14:textId="50DF7A6B" w:rsidR="00370EE3" w:rsidRPr="00947EC7" w:rsidRDefault="00370EE3" w:rsidP="00370EE3">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Inversiones Financieras a Largo Plazo</w:t>
            </w:r>
          </w:p>
        </w:tc>
        <w:tc>
          <w:tcPr>
            <w:tcW w:w="1960" w:type="dxa"/>
            <w:tcBorders>
              <w:top w:val="nil"/>
              <w:left w:val="nil"/>
              <w:bottom w:val="single" w:sz="12" w:space="0" w:color="A6802D"/>
              <w:right w:val="nil"/>
            </w:tcBorders>
            <w:shd w:val="clear" w:color="000000" w:fill="F2F2F2"/>
            <w:vAlign w:val="center"/>
          </w:tcPr>
          <w:p w14:paraId="572D62EF" w14:textId="706DD0B6" w:rsidR="00370EE3" w:rsidRPr="00947EC7" w:rsidRDefault="00370EE3" w:rsidP="00370EE3">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394,499,118,204.8</w:t>
            </w:r>
          </w:p>
        </w:tc>
        <w:tc>
          <w:tcPr>
            <w:tcW w:w="1961" w:type="dxa"/>
            <w:tcBorders>
              <w:top w:val="nil"/>
              <w:left w:val="nil"/>
              <w:bottom w:val="single" w:sz="12" w:space="0" w:color="A6802D"/>
              <w:right w:val="nil"/>
            </w:tcBorders>
            <w:shd w:val="clear" w:color="000000" w:fill="F2F2F2"/>
            <w:vAlign w:val="center"/>
          </w:tcPr>
          <w:p w14:paraId="03395022" w14:textId="0537E9A2" w:rsidR="00370EE3" w:rsidRPr="00947EC7" w:rsidRDefault="00370EE3" w:rsidP="00370EE3">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382,415,210,641.0</w:t>
            </w:r>
          </w:p>
        </w:tc>
      </w:tr>
      <w:tr w:rsidR="00C93DBB" w:rsidRPr="00274555" w14:paraId="40E85782" w14:textId="77777777" w:rsidTr="00B41080">
        <w:trPr>
          <w:trHeight w:val="226"/>
          <w:jc w:val="center"/>
        </w:trPr>
        <w:tc>
          <w:tcPr>
            <w:tcW w:w="5475" w:type="dxa"/>
            <w:tcBorders>
              <w:top w:val="single" w:sz="12" w:space="0" w:color="A6802D"/>
              <w:left w:val="nil"/>
              <w:right w:val="nil"/>
            </w:tcBorders>
            <w:vAlign w:val="center"/>
          </w:tcPr>
          <w:p w14:paraId="1A6841A0" w14:textId="77777777" w:rsidR="00C93DBB" w:rsidRPr="00274555" w:rsidRDefault="00C93DBB"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2CAA68F3" w14:textId="77777777" w:rsidR="00C93DBB" w:rsidRPr="00274555" w:rsidRDefault="00C93DBB"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2088F33E" w14:textId="77777777" w:rsidR="00C93DBB" w:rsidRPr="00274555" w:rsidRDefault="00C93DBB" w:rsidP="00B41080">
            <w:pPr>
              <w:spacing w:after="0" w:line="240" w:lineRule="auto"/>
              <w:jc w:val="both"/>
              <w:rPr>
                <w:rFonts w:ascii="Noto Sans" w:eastAsia="Times New Roman" w:hAnsi="Noto Sans" w:cs="Noto Sans"/>
                <w:b/>
                <w:bCs/>
                <w:color w:val="000000"/>
                <w:sz w:val="14"/>
                <w:szCs w:val="14"/>
                <w:lang w:eastAsia="es-MX"/>
              </w:rPr>
            </w:pPr>
          </w:p>
        </w:tc>
      </w:tr>
    </w:tbl>
    <w:p w14:paraId="2C71E2BB" w14:textId="77777777" w:rsidR="00A35517" w:rsidRDefault="00A35517" w:rsidP="00A35517">
      <w:pPr>
        <w:pStyle w:val="TEXTONORMAL"/>
        <w:tabs>
          <w:tab w:val="left" w:pos="284"/>
        </w:tabs>
        <w:rPr>
          <w:rFonts w:cs="Noto Sans"/>
          <w:szCs w:val="18"/>
        </w:rPr>
      </w:pPr>
    </w:p>
    <w:p w14:paraId="2813E4DF" w14:textId="77777777" w:rsidR="00A35517" w:rsidRPr="00A35517" w:rsidRDefault="00A35517" w:rsidP="00D91328">
      <w:pPr>
        <w:pStyle w:val="TEXTONORMAL"/>
        <w:tabs>
          <w:tab w:val="left" w:pos="284"/>
        </w:tabs>
        <w:rPr>
          <w:rFonts w:cs="Noto Sans"/>
          <w:szCs w:val="18"/>
        </w:rPr>
      </w:pPr>
      <w:r w:rsidRPr="00A35517">
        <w:rPr>
          <w:rFonts w:cs="Noto Sans"/>
          <w:b/>
          <w:szCs w:val="18"/>
        </w:rPr>
        <w:lastRenderedPageBreak/>
        <w:t>Reservas.</w:t>
      </w:r>
      <w:r w:rsidRPr="00A35517">
        <w:rPr>
          <w:rFonts w:cs="Noto Sans"/>
          <w:szCs w:val="18"/>
        </w:rPr>
        <w:t xml:space="preserve"> La LSS en su artículo 278 establece que el Instituto debe constituir reservas financieras con el fin de garantizar el debido y oportuno cumplimiento de las obligaciones que contraiga, derivadas del pago de beneficios y la prestación de servicios relativos a los seguros que establece la Ley, es decir, en su carácter de IMSS-Asegurador. </w:t>
      </w:r>
    </w:p>
    <w:p w14:paraId="1E3FF6B0" w14:textId="77777777" w:rsidR="00A35517" w:rsidRPr="00A35517" w:rsidRDefault="00A35517" w:rsidP="00D91328">
      <w:pPr>
        <w:pStyle w:val="TEXTONORMAL"/>
        <w:tabs>
          <w:tab w:val="left" w:pos="284"/>
        </w:tabs>
        <w:rPr>
          <w:rFonts w:cs="Noto Sans"/>
          <w:szCs w:val="18"/>
        </w:rPr>
      </w:pPr>
      <w:r w:rsidRPr="00A35517">
        <w:rPr>
          <w:rFonts w:cs="Noto Sans"/>
          <w:szCs w:val="18"/>
        </w:rPr>
        <w:t>Con base en el artículo 280 de la LSS, las reservas que el Instituto debe constituir son las siguientes:</w:t>
      </w:r>
    </w:p>
    <w:p w14:paraId="16E76FD8" w14:textId="77777777" w:rsidR="00A35517" w:rsidRDefault="00A35517" w:rsidP="00D91328">
      <w:pPr>
        <w:pStyle w:val="TEXTONORMAL"/>
        <w:tabs>
          <w:tab w:val="left" w:pos="284"/>
        </w:tabs>
        <w:rPr>
          <w:rFonts w:cs="Noto Sans"/>
          <w:szCs w:val="18"/>
        </w:rPr>
      </w:pPr>
      <w:r>
        <w:rPr>
          <w:rFonts w:cs="Noto Sans"/>
          <w:szCs w:val="18"/>
        </w:rPr>
        <w:t>Reservas Operativas (RO).</w:t>
      </w:r>
    </w:p>
    <w:p w14:paraId="47BA63E5" w14:textId="77777777" w:rsidR="00A35517" w:rsidRPr="00A35517" w:rsidRDefault="00A35517" w:rsidP="00D91328">
      <w:pPr>
        <w:pStyle w:val="TEXTONORMAL"/>
        <w:tabs>
          <w:tab w:val="left" w:pos="284"/>
        </w:tabs>
        <w:rPr>
          <w:rFonts w:cs="Noto Sans"/>
          <w:szCs w:val="18"/>
        </w:rPr>
      </w:pPr>
      <w:r w:rsidRPr="00A35517">
        <w:rPr>
          <w:rFonts w:cs="Noto Sans"/>
          <w:szCs w:val="18"/>
        </w:rPr>
        <w:t>Reserva de Operación para Contingencias y Financiamiento (ROCF).</w:t>
      </w:r>
    </w:p>
    <w:p w14:paraId="54972B65" w14:textId="77777777" w:rsidR="00A35517" w:rsidRPr="00A35517" w:rsidRDefault="00A35517" w:rsidP="00D91328">
      <w:pPr>
        <w:pStyle w:val="TEXTONORMAL"/>
        <w:tabs>
          <w:tab w:val="left" w:pos="284"/>
        </w:tabs>
        <w:rPr>
          <w:rFonts w:cs="Noto Sans"/>
          <w:szCs w:val="18"/>
        </w:rPr>
      </w:pPr>
      <w:r w:rsidRPr="00A35517">
        <w:rPr>
          <w:rFonts w:cs="Noto Sans"/>
          <w:szCs w:val="18"/>
        </w:rPr>
        <w:t>Reservas Financieras y Actuariales (RFA).</w:t>
      </w:r>
    </w:p>
    <w:p w14:paraId="38F7E17D" w14:textId="2754AC27" w:rsidR="00D91328" w:rsidRDefault="00A35517" w:rsidP="00D91328">
      <w:pPr>
        <w:pStyle w:val="TEXTONORMAL"/>
        <w:tabs>
          <w:tab w:val="left" w:pos="284"/>
        </w:tabs>
        <w:rPr>
          <w:rFonts w:cs="Noto Sans"/>
          <w:szCs w:val="18"/>
        </w:rPr>
      </w:pPr>
      <w:r w:rsidRPr="00A35517">
        <w:rPr>
          <w:rFonts w:cs="Noto Sans"/>
          <w:szCs w:val="18"/>
        </w:rPr>
        <w:t>Reserva General Financiera y Actuarial (RGFA).</w:t>
      </w:r>
    </w:p>
    <w:p w14:paraId="18924F1B" w14:textId="77777777" w:rsidR="00D91328" w:rsidRDefault="00D91328" w:rsidP="00D91328">
      <w:pPr>
        <w:pStyle w:val="TEXTONORMAL"/>
      </w:pPr>
      <w:r w:rsidRPr="00356E46">
        <w:t>La Reserva de Operación para Contingencias y Financiamiento y la Reserva General Financiera y Actuarial son globales, mientras que para la Reserva Financiera y Actuarial se debe establecer por cada uno de los s</w:t>
      </w:r>
      <w:r>
        <w:t>iguientes seguros y coberturas:</w:t>
      </w:r>
    </w:p>
    <w:p w14:paraId="3FF1785B" w14:textId="77777777" w:rsidR="00D91328" w:rsidRPr="00356E46" w:rsidRDefault="00D91328" w:rsidP="00D91328">
      <w:pPr>
        <w:pStyle w:val="TEXTONORMAL"/>
      </w:pPr>
      <w:r w:rsidRPr="00356E46">
        <w:t>Seguro de Enfermedades y Maternidad (SEM).</w:t>
      </w:r>
    </w:p>
    <w:p w14:paraId="2DA301B8" w14:textId="77777777" w:rsidR="00D91328" w:rsidRPr="00356E46" w:rsidRDefault="00D91328" w:rsidP="00D91328">
      <w:pPr>
        <w:pStyle w:val="TEXTONORMAL"/>
      </w:pPr>
      <w:r w:rsidRPr="00356E46">
        <w:t>Cobertura de Gastos Médicos para Pensionados (GMP).</w:t>
      </w:r>
    </w:p>
    <w:p w14:paraId="6185AE55" w14:textId="77777777" w:rsidR="00D91328" w:rsidRPr="00356E46" w:rsidRDefault="00D91328" w:rsidP="00D91328">
      <w:pPr>
        <w:pStyle w:val="TEXTONORMAL"/>
      </w:pPr>
      <w:r w:rsidRPr="00356E46">
        <w:t>Seguros Guarderías y Prestaciones Sociales (GPS).</w:t>
      </w:r>
    </w:p>
    <w:p w14:paraId="607DDF73" w14:textId="77777777" w:rsidR="00D91328" w:rsidRPr="00356E46" w:rsidRDefault="00D91328" w:rsidP="00D91328">
      <w:pPr>
        <w:pStyle w:val="TEXTONORMAL"/>
      </w:pPr>
      <w:r w:rsidRPr="00356E46">
        <w:t>Seguro de Invalidez y Vida (IV).</w:t>
      </w:r>
    </w:p>
    <w:p w14:paraId="7EC98A01" w14:textId="765D1534" w:rsidR="00D91328" w:rsidRPr="00774AFF" w:rsidRDefault="00D91328" w:rsidP="00D91328">
      <w:pPr>
        <w:pStyle w:val="TEXTONORMAL"/>
      </w:pPr>
      <w:r w:rsidRPr="00356E46">
        <w:t>Seguro de Riesgos de Trabajo (RT).</w:t>
      </w:r>
    </w:p>
    <w:p w14:paraId="14C04DE3" w14:textId="77777777" w:rsidR="00D91328" w:rsidRDefault="00D91328" w:rsidP="00D91328">
      <w:pPr>
        <w:pStyle w:val="TEXTONORMAL"/>
      </w:pPr>
      <w:r w:rsidRPr="000333F9">
        <w:rPr>
          <w:b/>
        </w:rPr>
        <w:t>Fondo Laboral</w:t>
      </w:r>
      <w:r w:rsidRPr="000333F9">
        <w:t xml:space="preserve">. </w:t>
      </w:r>
      <w:r w:rsidRPr="008A4F04">
        <w:t>Por otro lado, como patrón, el Instituto también debe administrar un fondo con el objeto de disponer de los recursos necesarios en el momento de la jubilación de sus empleados. El fondo que el Instituto administra para enfrentar sus obligaciones como patrón, se denomina Fondo para el Cumplimiento de Obligaciones Laborales de Carácter Legal o Contractual (FCOLCLC o Fondo Laboral), como se establece en el artículo 286 K de la LSS.</w:t>
      </w:r>
    </w:p>
    <w:p w14:paraId="3078CB51" w14:textId="77777777" w:rsidR="00D91328" w:rsidRPr="000333F9" w:rsidRDefault="00D91328" w:rsidP="00D91328">
      <w:pPr>
        <w:pStyle w:val="TEXTONORMAL"/>
      </w:pPr>
      <w:r w:rsidRPr="000333F9">
        <w:t xml:space="preserve">La Cuenta Especial para el Régimen de Jubilaciones y Pensiones del Fondo Laboral se integra a su vez por dos Subcuentas: </w:t>
      </w:r>
    </w:p>
    <w:p w14:paraId="251CB1B4" w14:textId="77777777" w:rsidR="00D91328" w:rsidRDefault="00D91328" w:rsidP="00D91328">
      <w:pPr>
        <w:pStyle w:val="TEXTONORMAL"/>
      </w:pPr>
      <w:r w:rsidRPr="008B4B22">
        <w:rPr>
          <w:b/>
          <w:bCs/>
        </w:rPr>
        <w:t>Subcuenta 1 (RJPS1).</w:t>
      </w:r>
      <w:r w:rsidRPr="00E0190F">
        <w:t xml:space="preserve"> </w:t>
      </w:r>
      <w:r w:rsidRPr="008A4F04">
        <w:t>Integrada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antes de la fecha de la firma del Convenio del 14 de octubre de 2005, incluyendo a los candidatos registrados en las Bolsas de Trabajo que hayan trabajado antes de la firma de dicho Convenio.</w:t>
      </w:r>
    </w:p>
    <w:p w14:paraId="58DA009C" w14:textId="77777777" w:rsidR="00D91328" w:rsidRDefault="00D91328" w:rsidP="00D91328">
      <w:pPr>
        <w:pStyle w:val="TEXTONORMAL"/>
      </w:pPr>
      <w:r w:rsidRPr="008B4B22">
        <w:rPr>
          <w:b/>
          <w:bCs/>
        </w:rPr>
        <w:t>Subcuenta 2 (RJPS2).</w:t>
      </w:r>
      <w:r w:rsidRPr="00997B25">
        <w:t xml:space="preserve"> </w:t>
      </w:r>
      <w:r w:rsidRPr="008A4F04">
        <w:t>Se constituyó y se incrementa por i) la aportación al Régimen de Jubilaciones y Pensiones excedente a 3</w:t>
      </w:r>
      <w:r>
        <w:t>%</w:t>
      </w:r>
      <w:r w:rsidRPr="008A4F04">
        <w:t xml:space="preserve"> del salario establecido para los trabajadores en activo, que ingresaron </w:t>
      </w:r>
      <w:r w:rsidRPr="0040729E">
        <w:t xml:space="preserve">al Instituto antes del 14 de octubre de 2005, lo que constituye la Subcuenta 2A (concepto 107), y </w:t>
      </w:r>
      <w:proofErr w:type="spellStart"/>
      <w:r w:rsidRPr="0040729E">
        <w:t>ii</w:t>
      </w:r>
      <w:proofErr w:type="spellEnd"/>
      <w:r w:rsidRPr="0040729E">
        <w:t xml:space="preserve">) </w:t>
      </w:r>
      <w:r>
        <w:t>l</w:t>
      </w:r>
      <w:r w:rsidRPr="0040729E">
        <w:t xml:space="preserve">a aportación del Régimen de Jubilaciones y Pensiones de 10 </w:t>
      </w:r>
      <w:r>
        <w:t xml:space="preserve">% </w:t>
      </w:r>
      <w:r w:rsidRPr="0040729E">
        <w:t>del salario de los trabajadores que ingresaron al Instituto a partir de 16 de octubre de 2005 y hasta el 27 de junio de 2008, lo que conforma la Subcuenta 2B (concepto 108).</w:t>
      </w:r>
    </w:p>
    <w:p w14:paraId="3E563FAE" w14:textId="77777777" w:rsidR="00D91328" w:rsidRPr="0040729E" w:rsidRDefault="00D91328" w:rsidP="00D91328">
      <w:pPr>
        <w:pStyle w:val="TEXTONORMAL"/>
      </w:pPr>
      <w:r w:rsidRPr="0040729E">
        <w:t>La Subcuenta 2 es autosustentable y se utiliza para el pago de las pensiones de los trabajadores que ingresaron al Instituto entre el 16 de octubre de 2005 y hasta el 27 junio de 2008.</w:t>
      </w:r>
    </w:p>
    <w:p w14:paraId="0DD5DC57" w14:textId="77777777" w:rsidR="00D91328" w:rsidRDefault="00D91328" w:rsidP="00D91328">
      <w:pPr>
        <w:pStyle w:val="TEXTONORMAL"/>
      </w:pPr>
      <w:r w:rsidRPr="0040729E">
        <w:lastRenderedPageBreak/>
        <w:t>El 1 de julio de 2023 se fusionaron la Subcuenta 2A y 2B, en cumplimiento al acuerdo ACDO.AS2.HCT.250423/104.P.DF del 25 de abril de 2023 donde el H. Consejo Técnico aprobó la actualización a las Reglas para la Administración y Manejo del Fondo para el Cumplimiento de Obligaciones Laborales de Carácter Legal o Contractual, mismas que en su Transitorio Segundo establecen que se deberán concentrar los recursos acumulados por el concepto 107 y 108 del Fondo Laboral.</w:t>
      </w:r>
    </w:p>
    <w:p w14:paraId="6072BF2F" w14:textId="77777777" w:rsidR="00D91328" w:rsidRPr="0040729E" w:rsidRDefault="00D91328" w:rsidP="00D91328">
      <w:pPr>
        <w:pStyle w:val="TEXTONORMAL"/>
        <w:rPr>
          <w:b/>
          <w:bCs/>
        </w:rPr>
      </w:pPr>
      <w:r w:rsidRPr="0040729E">
        <w:rPr>
          <w:b/>
          <w:bCs/>
        </w:rPr>
        <w:t xml:space="preserve">Recursos Administrados a cuenta de Terceros. </w:t>
      </w:r>
      <w:r w:rsidRPr="0040729E">
        <w:t>Las inversiones financieras incluyen también los siguientes Recursos administrados a cuenta de Terceros:</w:t>
      </w:r>
    </w:p>
    <w:p w14:paraId="2D1D5627" w14:textId="77777777" w:rsidR="00D91328" w:rsidRPr="0040729E" w:rsidRDefault="00D91328" w:rsidP="00D91328">
      <w:pPr>
        <w:pStyle w:val="TEXTONORMAL"/>
      </w:pPr>
      <w:r>
        <w:t>S</w:t>
      </w:r>
      <w:r w:rsidRPr="0040729E">
        <w:t xml:space="preserve">AR. Fondo de reserva para el pago de la subcuenta de retiro, de conformidad con el decreto que reforma la Ley del Sistema de Ahorro para el Retiro del 24 de diciembre de 2002. </w:t>
      </w:r>
    </w:p>
    <w:p w14:paraId="597ED51B" w14:textId="77777777" w:rsidR="00D91328" w:rsidRPr="0040729E" w:rsidRDefault="00D91328" w:rsidP="00D91328">
      <w:pPr>
        <w:pStyle w:val="TEXTONORMAL"/>
      </w:pPr>
      <w:r w:rsidRPr="0040729E">
        <w:t xml:space="preserve">Reserva del Art. 302 de la LSS 2021. Reserva constituida con los recursos transferidos al IMSS provenientes de las subcuentas de retiro, cesantía en edad avanzada y vejez a los diez años de que sean exigibles, conforme a lo establecido en el artículo 302 de la </w:t>
      </w:r>
      <w:r>
        <w:t>LSS</w:t>
      </w:r>
      <w:r w:rsidRPr="0040729E">
        <w:t xml:space="preserve"> de 2021.</w:t>
      </w:r>
    </w:p>
    <w:p w14:paraId="71C25CD3" w14:textId="77777777" w:rsidR="00D91328" w:rsidRPr="0040729E" w:rsidRDefault="00D91328" w:rsidP="00D91328">
      <w:pPr>
        <w:pStyle w:val="TEXTONORMAL"/>
      </w:pPr>
      <w:r w:rsidRPr="0040729E">
        <w:t xml:space="preserve">Fondo de Fomento a la Educación (FOFOE).  Fondo de Fomento a la Educación a cargo de la Dirección de Prestaciones Médicas conformado por cuotas de recuperación de programas educativos, actividades académicas y proyectos de educación en salud e investigación educativa impartidas por el IMSS a nacionales y extranjeros. </w:t>
      </w:r>
    </w:p>
    <w:p w14:paraId="486FF9B2" w14:textId="77777777" w:rsidR="00D91328" w:rsidRPr="0040729E" w:rsidRDefault="00D91328" w:rsidP="00D91328">
      <w:pPr>
        <w:pStyle w:val="TEXTONORMAL"/>
      </w:pPr>
      <w:r w:rsidRPr="0040729E">
        <w:t xml:space="preserve">Clausulas 85 y 89 (C 85-89). Cláusulas del </w:t>
      </w:r>
      <w:r>
        <w:t>CCT</w:t>
      </w:r>
      <w:r w:rsidRPr="0040729E">
        <w:t xml:space="preserve"> relacionadas con la liquidación finiquita de los trabajadores que causan baja del IMSS por fallecimiento sin Testamento.</w:t>
      </w:r>
    </w:p>
    <w:p w14:paraId="0ACB0300" w14:textId="77777777" w:rsidR="00D91328" w:rsidRPr="0040729E" w:rsidRDefault="00D91328" w:rsidP="00D91328">
      <w:pPr>
        <w:pStyle w:val="TEXTONORMAL"/>
      </w:pPr>
      <w:r w:rsidRPr="0040729E">
        <w:t>Aportaciones Federales para el Pago de Pensiones (AFPP). Recursos que transfiere el Gobierno Federal al IMSS para el pago de pensiones IMSS (RJP), no IMSS (Pago Físico) y pensiones garantizadas.</w:t>
      </w:r>
    </w:p>
    <w:p w14:paraId="293EC89B" w14:textId="77777777" w:rsidR="00D91328" w:rsidRPr="0040729E" w:rsidRDefault="00D91328" w:rsidP="00D91328">
      <w:pPr>
        <w:pStyle w:val="TEXTONORMAL"/>
      </w:pPr>
      <w:r w:rsidRPr="0040729E">
        <w:t>Recursos del Convenio entre IMSS-Bienestar con el Instituto de Salud para el Bienestar (INSABI). Transferencias presupuestarias federales con carácter de subsidios que recibió el IMSS a efectos de que los mismos se destinen al desarrollo de acciones en las unidades médicas del Programa IMSS-Bienestar.</w:t>
      </w:r>
    </w:p>
    <w:p w14:paraId="68A29F39" w14:textId="77777777" w:rsidR="00D91328" w:rsidRDefault="00D91328" w:rsidP="00D91328">
      <w:pPr>
        <w:pStyle w:val="TEXTONORMAL"/>
      </w:pPr>
      <w:r w:rsidRPr="0040729E">
        <w:t>Recursos para ampliar la cobertura de IMSS-Bienestar (BIENESTAR). Transferencias presupuestarias federales que recibe el IMSS con el fin de que el Programa IMSS-Bienestar pueda contar con los recursos necesarios para la atención integral gratuita médica y hospitalaria con medicamentos y demás insumos asociados a las personas sin afiliación a las instituciones de seguridad social.</w:t>
      </w:r>
    </w:p>
    <w:p w14:paraId="6B97601D" w14:textId="6B0B4CFD" w:rsidR="00DF233A" w:rsidRDefault="00185D2B" w:rsidP="00D91328">
      <w:pPr>
        <w:pStyle w:val="TEXTONORMAL"/>
      </w:pPr>
      <w:r w:rsidRPr="00B41EC9">
        <w:t>Recursos Convenio Pasta de Conchos (PCONCHOS). Convenio entre el IMSS, la Secretaría del Trabajo y Previsión Social (STPS) y el Instituto para Devolver al Pueblo lo Robado (NDEP), para el otorgamiento de medidas de ayuda extraordinaria en favor de los familiares, viudas e hijos, de los mineros fallecidos en la mina Pasta de Conchos, Coahuil</w:t>
      </w:r>
      <w:r w:rsidRPr="0007363C">
        <w:t>a.</w:t>
      </w:r>
    </w:p>
    <w:p w14:paraId="211905F0" w14:textId="77777777" w:rsidR="00185D2B" w:rsidRDefault="00185D2B" w:rsidP="00D91328">
      <w:pPr>
        <w:pStyle w:val="TEXTONORMAL"/>
      </w:pPr>
    </w:p>
    <w:p w14:paraId="44C290CC" w14:textId="77777777" w:rsidR="00B87C93" w:rsidRDefault="00B87C93" w:rsidP="00D91328">
      <w:pPr>
        <w:pStyle w:val="TEXTONORMAL"/>
      </w:pPr>
    </w:p>
    <w:p w14:paraId="7D79049C" w14:textId="77777777" w:rsidR="00B87C93" w:rsidRDefault="00B87C93" w:rsidP="00D91328">
      <w:pPr>
        <w:pStyle w:val="TEXTONORMAL"/>
      </w:pPr>
    </w:p>
    <w:p w14:paraId="340AF93A" w14:textId="77777777" w:rsidR="00B87C93" w:rsidRDefault="00B87C93" w:rsidP="00D91328">
      <w:pPr>
        <w:pStyle w:val="TEXTONORMAL"/>
      </w:pPr>
    </w:p>
    <w:p w14:paraId="6324F17A" w14:textId="77777777" w:rsidR="00B87C93" w:rsidRDefault="00B87C93" w:rsidP="00D91328">
      <w:pPr>
        <w:pStyle w:val="TEXTONORMAL"/>
      </w:pPr>
    </w:p>
    <w:p w14:paraId="0433C8DA" w14:textId="77777777" w:rsidR="00B87C93" w:rsidRDefault="00B87C93" w:rsidP="00D91328">
      <w:pPr>
        <w:pStyle w:val="TEXTONORMAL"/>
      </w:pPr>
    </w:p>
    <w:p w14:paraId="294F3A9D" w14:textId="77777777" w:rsidR="00DF233A" w:rsidRPr="0005076C" w:rsidRDefault="00947EC7" w:rsidP="00ED1D2E">
      <w:pPr>
        <w:pStyle w:val="TEXTONORMAL"/>
        <w:numPr>
          <w:ilvl w:val="0"/>
          <w:numId w:val="15"/>
        </w:numPr>
      </w:pPr>
      <w:r>
        <w:rPr>
          <w:rFonts w:cs="Noto Sans"/>
          <w:szCs w:val="18"/>
        </w:rPr>
        <w:lastRenderedPageBreak/>
        <w:t>3</w:t>
      </w:r>
      <w:r w:rsidR="00DF233A">
        <w:rPr>
          <w:rFonts w:cs="Noto Sans"/>
          <w:szCs w:val="18"/>
        </w:rPr>
        <w:t xml:space="preserve">.7.a) </w:t>
      </w:r>
      <w:r w:rsidR="00DF233A" w:rsidRPr="00DF233A">
        <w:rPr>
          <w:rFonts w:cs="Noto Sans"/>
          <w:szCs w:val="18"/>
        </w:rPr>
        <w:t>Los instrumentos financieros se clasifican en inversiones temporales, corto y largo plazo con base en su vencimiento, de conformidad con el MCGSPF, los cuales se integran por las Reservas y el Fondo Laboral, así como por los Recursos administrados a cuenta de terceros como sigue:</w:t>
      </w:r>
    </w:p>
    <w:p w14:paraId="7582C968" w14:textId="77777777" w:rsidR="00FD6B98" w:rsidRPr="00DF233A" w:rsidRDefault="00FD6B98" w:rsidP="002D3A2E">
      <w:pPr>
        <w:pStyle w:val="TEXTONORMAL"/>
      </w:pPr>
    </w:p>
    <w:tbl>
      <w:tblPr>
        <w:tblW w:w="0" w:type="auto"/>
        <w:jc w:val="center"/>
        <w:tblCellMar>
          <w:left w:w="70" w:type="dxa"/>
          <w:right w:w="70" w:type="dxa"/>
        </w:tblCellMar>
        <w:tblLook w:val="0480" w:firstRow="0" w:lastRow="0" w:firstColumn="1" w:lastColumn="0" w:noHBand="0" w:noVBand="1"/>
      </w:tblPr>
      <w:tblGrid>
        <w:gridCol w:w="4642"/>
        <w:gridCol w:w="1518"/>
        <w:gridCol w:w="458"/>
        <w:gridCol w:w="1013"/>
        <w:gridCol w:w="1023"/>
        <w:gridCol w:w="602"/>
        <w:gridCol w:w="1204"/>
        <w:gridCol w:w="401"/>
        <w:gridCol w:w="1249"/>
        <w:gridCol w:w="166"/>
        <w:gridCol w:w="22"/>
      </w:tblGrid>
      <w:tr w:rsidR="0005076C" w:rsidRPr="005946C5" w14:paraId="1F26F45A" w14:textId="77777777" w:rsidTr="00515CCE">
        <w:trPr>
          <w:gridAfter w:val="1"/>
          <w:wAfter w:w="22" w:type="dxa"/>
          <w:trHeight w:val="71"/>
          <w:jc w:val="center"/>
        </w:trPr>
        <w:tc>
          <w:tcPr>
            <w:tcW w:w="4642" w:type="dxa"/>
            <w:vMerge w:val="restart"/>
            <w:tcBorders>
              <w:top w:val="double" w:sz="12" w:space="0" w:color="A6802D"/>
              <w:left w:val="nil"/>
              <w:right w:val="single" w:sz="12" w:space="0" w:color="FFFFFF"/>
            </w:tcBorders>
            <w:shd w:val="clear" w:color="auto" w:fill="A6802D"/>
            <w:vAlign w:val="center"/>
            <w:hideMark/>
          </w:tcPr>
          <w:p w14:paraId="0E1FADBD"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bookmarkStart w:id="4" w:name="OLE_LINK1"/>
            <w:r w:rsidRPr="008E629A">
              <w:rPr>
                <w:rFonts w:ascii="Noto Sans" w:eastAsia="Times New Roman" w:hAnsi="Noto Sans" w:cs="Noto Sans"/>
                <w:b/>
                <w:bCs/>
                <w:color w:val="FFFFFF"/>
                <w:sz w:val="16"/>
                <w:szCs w:val="16"/>
                <w:lang w:eastAsia="es-MX"/>
              </w:rPr>
              <w:t>Concepto</w:t>
            </w:r>
          </w:p>
        </w:tc>
        <w:tc>
          <w:tcPr>
            <w:tcW w:w="7634" w:type="dxa"/>
            <w:gridSpan w:val="9"/>
            <w:tcBorders>
              <w:top w:val="double" w:sz="12" w:space="0" w:color="A6802D"/>
              <w:left w:val="nil"/>
              <w:bottom w:val="single" w:sz="12" w:space="0" w:color="FFFFFF"/>
            </w:tcBorders>
            <w:shd w:val="clear" w:color="auto" w:fill="A6802D"/>
            <w:vAlign w:val="center"/>
            <w:hideMark/>
          </w:tcPr>
          <w:p w14:paraId="7058F11E"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5076C" w:rsidRPr="005946C5" w14:paraId="6BE04B9C" w14:textId="77777777" w:rsidTr="00515CCE">
        <w:trPr>
          <w:gridAfter w:val="1"/>
          <w:wAfter w:w="22" w:type="dxa"/>
          <w:trHeight w:val="24"/>
          <w:jc w:val="center"/>
        </w:trPr>
        <w:tc>
          <w:tcPr>
            <w:tcW w:w="4642" w:type="dxa"/>
            <w:vMerge/>
            <w:tcBorders>
              <w:left w:val="nil"/>
              <w:right w:val="single" w:sz="12" w:space="0" w:color="FFFFFF"/>
            </w:tcBorders>
            <w:shd w:val="clear" w:color="auto" w:fill="A6802D"/>
            <w:vAlign w:val="center"/>
          </w:tcPr>
          <w:p w14:paraId="3478DC44"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p>
        </w:tc>
        <w:tc>
          <w:tcPr>
            <w:tcW w:w="7634" w:type="dxa"/>
            <w:gridSpan w:val="9"/>
            <w:tcBorders>
              <w:top w:val="nil"/>
              <w:left w:val="nil"/>
              <w:bottom w:val="single" w:sz="12" w:space="0" w:color="FFFFFF" w:themeColor="background1"/>
            </w:tcBorders>
            <w:shd w:val="clear" w:color="auto" w:fill="A6802D"/>
            <w:vAlign w:val="center"/>
          </w:tcPr>
          <w:p w14:paraId="1BA6DFB1" w14:textId="0EB28AF6" w:rsidR="0005076C" w:rsidRPr="008E629A" w:rsidRDefault="0005076C" w:rsidP="0005076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r>
      <w:tr w:rsidR="0005076C" w:rsidRPr="005946C5" w14:paraId="0B61A18D" w14:textId="77777777" w:rsidTr="00515CCE">
        <w:trPr>
          <w:trHeight w:val="24"/>
          <w:jc w:val="center"/>
        </w:trPr>
        <w:tc>
          <w:tcPr>
            <w:tcW w:w="4642" w:type="dxa"/>
            <w:vMerge/>
            <w:tcBorders>
              <w:left w:val="nil"/>
              <w:bottom w:val="triple" w:sz="12" w:space="0" w:color="A6802D"/>
              <w:right w:val="single" w:sz="12" w:space="0" w:color="FFFFFF"/>
            </w:tcBorders>
            <w:shd w:val="clear" w:color="auto" w:fill="A6802D"/>
            <w:vAlign w:val="center"/>
            <w:hideMark/>
          </w:tcPr>
          <w:p w14:paraId="16C1965C"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p>
        </w:tc>
        <w:tc>
          <w:tcPr>
            <w:tcW w:w="1518" w:type="dxa"/>
            <w:tcBorders>
              <w:top w:val="single" w:sz="12" w:space="0" w:color="FFFFFF" w:themeColor="background1"/>
              <w:left w:val="nil"/>
              <w:bottom w:val="triple" w:sz="12" w:space="0" w:color="A6802D"/>
              <w:right w:val="single" w:sz="12" w:space="0" w:color="FFFFFF"/>
            </w:tcBorders>
            <w:shd w:val="clear" w:color="auto" w:fill="A6802D"/>
            <w:vAlign w:val="center"/>
          </w:tcPr>
          <w:p w14:paraId="1BB21679" w14:textId="5412F7DA"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Temporales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.1.a)</w:t>
            </w:r>
          </w:p>
        </w:tc>
        <w:tc>
          <w:tcPr>
            <w:tcW w:w="1471" w:type="dxa"/>
            <w:gridSpan w:val="2"/>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1A14EBA3" w14:textId="0AC7D199"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Corto Plazo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.2.b)</w:t>
            </w:r>
          </w:p>
        </w:tc>
        <w:tc>
          <w:tcPr>
            <w:tcW w:w="1625"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FA0913A" w14:textId="77777777" w:rsidR="0005076C"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Largo Plazo </w:t>
            </w:r>
          </w:p>
          <w:p w14:paraId="3DF01CB6" w14:textId="2BBAAB43"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.7.a)</w:t>
            </w:r>
          </w:p>
        </w:tc>
        <w:tc>
          <w:tcPr>
            <w:tcW w:w="1605"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F8A4643"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Instrumentos Financieros </w:t>
            </w:r>
          </w:p>
        </w:tc>
        <w:tc>
          <w:tcPr>
            <w:tcW w:w="1437" w:type="dxa"/>
            <w:gridSpan w:val="3"/>
            <w:tcBorders>
              <w:top w:val="single" w:sz="12" w:space="0" w:color="FFFFFF" w:themeColor="background1"/>
              <w:left w:val="single" w:sz="12" w:space="0" w:color="FFFFFF" w:themeColor="background1"/>
              <w:bottom w:val="triple" w:sz="12" w:space="0" w:color="A6802D"/>
            </w:tcBorders>
            <w:shd w:val="clear" w:color="auto" w:fill="A6802D"/>
            <w:vAlign w:val="center"/>
          </w:tcPr>
          <w:p w14:paraId="36B65181" w14:textId="77777777" w:rsidR="0005076C" w:rsidRPr="008E629A" w:rsidRDefault="0005076C" w:rsidP="00E3521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Pasivos</w:t>
            </w:r>
          </w:p>
        </w:tc>
      </w:tr>
      <w:tr w:rsidR="00FD49B9" w:rsidRPr="005946C5" w14:paraId="74C52F2C" w14:textId="77777777" w:rsidTr="00515CCE">
        <w:trPr>
          <w:trHeight w:val="245"/>
          <w:jc w:val="center"/>
        </w:trPr>
        <w:tc>
          <w:tcPr>
            <w:tcW w:w="4642" w:type="dxa"/>
            <w:tcBorders>
              <w:top w:val="triple" w:sz="12" w:space="0" w:color="A6802D"/>
              <w:left w:val="nil"/>
              <w:bottom w:val="nil"/>
              <w:right w:val="nil"/>
            </w:tcBorders>
            <w:shd w:val="clear" w:color="000000" w:fill="F2F2F2"/>
            <w:vAlign w:val="center"/>
          </w:tcPr>
          <w:p w14:paraId="3B7F4FFA" w14:textId="77777777" w:rsidR="00FD49B9" w:rsidRPr="00947EC7" w:rsidRDefault="00FD49B9" w:rsidP="00FD49B9">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Reservas Operativas (RO)</w:t>
            </w:r>
          </w:p>
        </w:tc>
        <w:tc>
          <w:tcPr>
            <w:tcW w:w="1518" w:type="dxa"/>
            <w:tcBorders>
              <w:top w:val="triple" w:sz="12" w:space="0" w:color="A6802D"/>
              <w:left w:val="nil"/>
              <w:bottom w:val="nil"/>
              <w:right w:val="nil"/>
            </w:tcBorders>
            <w:shd w:val="clear" w:color="000000" w:fill="F2F2F2"/>
            <w:vAlign w:val="center"/>
          </w:tcPr>
          <w:p w14:paraId="1E2BF4AD" w14:textId="1CE658E5"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91,021,793,493.0</w:t>
            </w:r>
          </w:p>
        </w:tc>
        <w:tc>
          <w:tcPr>
            <w:tcW w:w="1471" w:type="dxa"/>
            <w:gridSpan w:val="2"/>
            <w:tcBorders>
              <w:top w:val="triple" w:sz="12" w:space="0" w:color="A6802D"/>
              <w:left w:val="nil"/>
              <w:bottom w:val="nil"/>
              <w:right w:val="nil"/>
            </w:tcBorders>
            <w:shd w:val="clear" w:color="000000" w:fill="F2F2F2"/>
            <w:vAlign w:val="center"/>
          </w:tcPr>
          <w:p w14:paraId="175655EF" w14:textId="7B6DBB25"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9,803,558,039.7</w:t>
            </w:r>
          </w:p>
        </w:tc>
        <w:tc>
          <w:tcPr>
            <w:tcW w:w="1625" w:type="dxa"/>
            <w:gridSpan w:val="2"/>
            <w:tcBorders>
              <w:top w:val="triple" w:sz="12" w:space="0" w:color="A6802D"/>
              <w:left w:val="nil"/>
              <w:bottom w:val="nil"/>
              <w:right w:val="nil"/>
            </w:tcBorders>
            <w:shd w:val="clear" w:color="000000" w:fill="F2F2F2"/>
            <w:vAlign w:val="center"/>
          </w:tcPr>
          <w:p w14:paraId="662B776E" w14:textId="00093469"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0.0</w:t>
            </w:r>
          </w:p>
        </w:tc>
        <w:tc>
          <w:tcPr>
            <w:tcW w:w="1605" w:type="dxa"/>
            <w:gridSpan w:val="2"/>
            <w:tcBorders>
              <w:top w:val="triple" w:sz="12" w:space="0" w:color="A6802D"/>
              <w:left w:val="nil"/>
              <w:bottom w:val="nil"/>
              <w:right w:val="nil"/>
            </w:tcBorders>
            <w:shd w:val="clear" w:color="000000" w:fill="F2F2F2"/>
            <w:vAlign w:val="center"/>
          </w:tcPr>
          <w:p w14:paraId="2C91AD59" w14:textId="36D1B457"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100,825,351,532.7</w:t>
            </w:r>
          </w:p>
        </w:tc>
        <w:tc>
          <w:tcPr>
            <w:tcW w:w="1437" w:type="dxa"/>
            <w:gridSpan w:val="3"/>
            <w:tcBorders>
              <w:top w:val="triple" w:sz="12" w:space="0" w:color="A6802D"/>
              <w:left w:val="nil"/>
              <w:bottom w:val="nil"/>
              <w:right w:val="nil"/>
            </w:tcBorders>
            <w:shd w:val="clear" w:color="000000" w:fill="F2F2F2"/>
            <w:vAlign w:val="center"/>
          </w:tcPr>
          <w:p w14:paraId="6BB408DE" w14:textId="3DD83B37"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0.0</w:t>
            </w:r>
          </w:p>
        </w:tc>
      </w:tr>
      <w:tr w:rsidR="00FD49B9" w:rsidRPr="00FC0913" w14:paraId="7369D531" w14:textId="77777777" w:rsidTr="00515CCE">
        <w:trPr>
          <w:trHeight w:val="245"/>
          <w:jc w:val="center"/>
        </w:trPr>
        <w:tc>
          <w:tcPr>
            <w:tcW w:w="4642" w:type="dxa"/>
            <w:tcBorders>
              <w:top w:val="nil"/>
              <w:left w:val="nil"/>
              <w:bottom w:val="nil"/>
              <w:right w:val="nil"/>
            </w:tcBorders>
            <w:shd w:val="clear" w:color="000000" w:fill="F2F2F2"/>
            <w:vAlign w:val="center"/>
          </w:tcPr>
          <w:p w14:paraId="4BAF9502" w14:textId="77777777" w:rsidR="00FD49B9" w:rsidRPr="00947EC7" w:rsidRDefault="00FD49B9" w:rsidP="00FD49B9">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para Contingencia y Financiamiento (ROCF)</w:t>
            </w:r>
          </w:p>
        </w:tc>
        <w:tc>
          <w:tcPr>
            <w:tcW w:w="1518" w:type="dxa"/>
            <w:tcBorders>
              <w:top w:val="nil"/>
              <w:left w:val="nil"/>
              <w:bottom w:val="nil"/>
              <w:right w:val="nil"/>
            </w:tcBorders>
            <w:shd w:val="clear" w:color="000000" w:fill="F2F2F2"/>
            <w:vAlign w:val="center"/>
          </w:tcPr>
          <w:p w14:paraId="29F44877" w14:textId="5FE2040E"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23,309,631,845.8</w:t>
            </w:r>
          </w:p>
        </w:tc>
        <w:tc>
          <w:tcPr>
            <w:tcW w:w="1471" w:type="dxa"/>
            <w:gridSpan w:val="2"/>
            <w:tcBorders>
              <w:top w:val="nil"/>
              <w:left w:val="nil"/>
              <w:bottom w:val="nil"/>
              <w:right w:val="nil"/>
            </w:tcBorders>
            <w:shd w:val="clear" w:color="000000" w:fill="F2F2F2"/>
            <w:vAlign w:val="center"/>
          </w:tcPr>
          <w:p w14:paraId="1B8CD5CC" w14:textId="201FFBB2"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65,974,086,356.1</w:t>
            </w:r>
          </w:p>
        </w:tc>
        <w:tc>
          <w:tcPr>
            <w:tcW w:w="1625" w:type="dxa"/>
            <w:gridSpan w:val="2"/>
            <w:tcBorders>
              <w:top w:val="nil"/>
              <w:left w:val="nil"/>
              <w:bottom w:val="nil"/>
              <w:right w:val="nil"/>
            </w:tcBorders>
            <w:shd w:val="clear" w:color="000000" w:fill="F2F2F2"/>
            <w:vAlign w:val="center"/>
          </w:tcPr>
          <w:p w14:paraId="04F2C16A" w14:textId="4C43046B"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40,289,657,767.8</w:t>
            </w:r>
          </w:p>
        </w:tc>
        <w:tc>
          <w:tcPr>
            <w:tcW w:w="1605" w:type="dxa"/>
            <w:gridSpan w:val="2"/>
            <w:tcBorders>
              <w:top w:val="nil"/>
              <w:left w:val="nil"/>
              <w:bottom w:val="nil"/>
              <w:right w:val="nil"/>
            </w:tcBorders>
            <w:shd w:val="clear" w:color="000000" w:fill="F2F2F2"/>
            <w:vAlign w:val="center"/>
          </w:tcPr>
          <w:p w14:paraId="6FF2ABDD" w14:textId="6F946231"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129,573,375,969.7</w:t>
            </w:r>
          </w:p>
        </w:tc>
        <w:tc>
          <w:tcPr>
            <w:tcW w:w="1437" w:type="dxa"/>
            <w:gridSpan w:val="3"/>
            <w:tcBorders>
              <w:top w:val="nil"/>
              <w:left w:val="nil"/>
              <w:bottom w:val="nil"/>
              <w:right w:val="nil"/>
            </w:tcBorders>
            <w:shd w:val="clear" w:color="000000" w:fill="F2F2F2"/>
            <w:vAlign w:val="center"/>
          </w:tcPr>
          <w:p w14:paraId="4BB82B81" w14:textId="4C32E556"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129,573,375,969.7</w:t>
            </w:r>
          </w:p>
        </w:tc>
      </w:tr>
      <w:tr w:rsidR="00FD49B9" w:rsidRPr="00FC0913" w14:paraId="0904AB4C" w14:textId="77777777" w:rsidTr="00515CCE">
        <w:trPr>
          <w:trHeight w:val="245"/>
          <w:jc w:val="center"/>
        </w:trPr>
        <w:tc>
          <w:tcPr>
            <w:tcW w:w="4642" w:type="dxa"/>
            <w:tcBorders>
              <w:top w:val="nil"/>
              <w:left w:val="nil"/>
              <w:bottom w:val="nil"/>
              <w:right w:val="nil"/>
            </w:tcBorders>
            <w:shd w:val="clear" w:color="000000" w:fill="F2F2F2"/>
            <w:vAlign w:val="center"/>
          </w:tcPr>
          <w:p w14:paraId="3E24B721" w14:textId="77777777" w:rsidR="00FD49B9" w:rsidRPr="00947EC7" w:rsidRDefault="00FD49B9" w:rsidP="00FD49B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General Financiera y Actuarial (RGFA)</w:t>
            </w:r>
          </w:p>
        </w:tc>
        <w:tc>
          <w:tcPr>
            <w:tcW w:w="1518" w:type="dxa"/>
            <w:tcBorders>
              <w:top w:val="nil"/>
              <w:left w:val="nil"/>
              <w:bottom w:val="nil"/>
              <w:right w:val="nil"/>
            </w:tcBorders>
            <w:shd w:val="clear" w:color="000000" w:fill="F2F2F2"/>
            <w:vAlign w:val="center"/>
          </w:tcPr>
          <w:p w14:paraId="2192506C" w14:textId="4C771B4A"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3,330,036,188.2</w:t>
            </w:r>
          </w:p>
        </w:tc>
        <w:tc>
          <w:tcPr>
            <w:tcW w:w="1471" w:type="dxa"/>
            <w:gridSpan w:val="2"/>
            <w:tcBorders>
              <w:top w:val="nil"/>
              <w:left w:val="nil"/>
              <w:bottom w:val="nil"/>
              <w:right w:val="nil"/>
            </w:tcBorders>
            <w:shd w:val="clear" w:color="000000" w:fill="F2F2F2"/>
            <w:vAlign w:val="center"/>
          </w:tcPr>
          <w:p w14:paraId="0523F423" w14:textId="6B9243AB"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1,766,041,200.7</w:t>
            </w:r>
          </w:p>
        </w:tc>
        <w:tc>
          <w:tcPr>
            <w:tcW w:w="1625" w:type="dxa"/>
            <w:gridSpan w:val="2"/>
            <w:tcBorders>
              <w:top w:val="nil"/>
              <w:left w:val="nil"/>
              <w:bottom w:val="nil"/>
              <w:right w:val="nil"/>
            </w:tcBorders>
            <w:shd w:val="clear" w:color="000000" w:fill="F2F2F2"/>
            <w:vAlign w:val="center"/>
          </w:tcPr>
          <w:p w14:paraId="4F599F55" w14:textId="12F86A7C"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14,816,277,895.7</w:t>
            </w:r>
          </w:p>
        </w:tc>
        <w:tc>
          <w:tcPr>
            <w:tcW w:w="1605" w:type="dxa"/>
            <w:gridSpan w:val="2"/>
            <w:tcBorders>
              <w:top w:val="nil"/>
              <w:left w:val="nil"/>
              <w:bottom w:val="nil"/>
              <w:right w:val="nil"/>
            </w:tcBorders>
            <w:shd w:val="clear" w:color="000000" w:fill="F2F2F2"/>
            <w:vAlign w:val="center"/>
          </w:tcPr>
          <w:p w14:paraId="3C4257B2" w14:textId="3C112579"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19,912,355,284.6</w:t>
            </w:r>
          </w:p>
        </w:tc>
        <w:tc>
          <w:tcPr>
            <w:tcW w:w="1437" w:type="dxa"/>
            <w:gridSpan w:val="3"/>
            <w:tcBorders>
              <w:top w:val="nil"/>
              <w:left w:val="nil"/>
              <w:bottom w:val="nil"/>
              <w:right w:val="nil"/>
            </w:tcBorders>
            <w:shd w:val="clear" w:color="000000" w:fill="F2F2F2"/>
            <w:vAlign w:val="center"/>
          </w:tcPr>
          <w:p w14:paraId="582B1D02" w14:textId="0A7B0AE7" w:rsidR="00FD49B9" w:rsidRPr="00E91CFF" w:rsidRDefault="00FD49B9" w:rsidP="00FD49B9">
            <w:pPr>
              <w:spacing w:after="0" w:line="240" w:lineRule="auto"/>
              <w:jc w:val="right"/>
              <w:rPr>
                <w:rFonts w:ascii="Noto Sans" w:eastAsia="Times New Roman" w:hAnsi="Noto Sans" w:cs="Noto Sans"/>
                <w:sz w:val="15"/>
                <w:szCs w:val="15"/>
                <w:lang w:val="es-ES" w:eastAsia="es-MX"/>
              </w:rPr>
            </w:pPr>
            <w:r>
              <w:rPr>
                <w:rFonts w:ascii="Noto Sans" w:hAnsi="Noto Sans" w:cs="Noto Sans"/>
                <w:color w:val="000000"/>
                <w:sz w:val="15"/>
                <w:szCs w:val="15"/>
              </w:rPr>
              <w:t>19,912,355,284.6</w:t>
            </w:r>
          </w:p>
        </w:tc>
      </w:tr>
      <w:tr w:rsidR="00FD49B9" w:rsidRPr="00FC0913" w14:paraId="310FA677" w14:textId="77777777" w:rsidTr="00515CCE">
        <w:trPr>
          <w:trHeight w:val="245"/>
          <w:jc w:val="center"/>
        </w:trPr>
        <w:tc>
          <w:tcPr>
            <w:tcW w:w="4642" w:type="dxa"/>
            <w:tcBorders>
              <w:top w:val="nil"/>
              <w:left w:val="nil"/>
              <w:bottom w:val="nil"/>
              <w:right w:val="nil"/>
            </w:tcBorders>
            <w:shd w:val="clear" w:color="000000" w:fill="F2F2F2"/>
            <w:vAlign w:val="center"/>
          </w:tcPr>
          <w:p w14:paraId="132C46B9" w14:textId="77777777" w:rsidR="00FD49B9" w:rsidRPr="00947EC7" w:rsidRDefault="00FD49B9" w:rsidP="00FD49B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Gastos Médicos de Pensionados</w:t>
            </w:r>
          </w:p>
        </w:tc>
        <w:tc>
          <w:tcPr>
            <w:tcW w:w="1518" w:type="dxa"/>
            <w:tcBorders>
              <w:top w:val="nil"/>
              <w:left w:val="nil"/>
              <w:bottom w:val="nil"/>
              <w:right w:val="nil"/>
            </w:tcBorders>
            <w:shd w:val="clear" w:color="000000" w:fill="F2F2F2"/>
            <w:vAlign w:val="center"/>
          </w:tcPr>
          <w:p w14:paraId="24A1DEF5" w14:textId="200A5591"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2,139,295,937.2</w:t>
            </w:r>
          </w:p>
        </w:tc>
        <w:tc>
          <w:tcPr>
            <w:tcW w:w="1471" w:type="dxa"/>
            <w:gridSpan w:val="2"/>
            <w:tcBorders>
              <w:top w:val="nil"/>
              <w:left w:val="nil"/>
              <w:bottom w:val="nil"/>
              <w:right w:val="nil"/>
            </w:tcBorders>
            <w:shd w:val="clear" w:color="000000" w:fill="F2F2F2"/>
            <w:vAlign w:val="center"/>
          </w:tcPr>
          <w:p w14:paraId="70F315DF" w14:textId="21D5E0D6"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484,572,792.6</w:t>
            </w:r>
          </w:p>
        </w:tc>
        <w:tc>
          <w:tcPr>
            <w:tcW w:w="1625" w:type="dxa"/>
            <w:gridSpan w:val="2"/>
            <w:tcBorders>
              <w:top w:val="nil"/>
              <w:left w:val="nil"/>
              <w:bottom w:val="nil"/>
              <w:right w:val="nil"/>
            </w:tcBorders>
            <w:shd w:val="clear" w:color="000000" w:fill="F2F2F2"/>
            <w:vAlign w:val="center"/>
          </w:tcPr>
          <w:p w14:paraId="389B070B" w14:textId="7C7DFCB5"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44,227,034,161.1</w:t>
            </w:r>
          </w:p>
        </w:tc>
        <w:tc>
          <w:tcPr>
            <w:tcW w:w="1605" w:type="dxa"/>
            <w:gridSpan w:val="2"/>
            <w:tcBorders>
              <w:top w:val="nil"/>
              <w:left w:val="nil"/>
              <w:bottom w:val="nil"/>
              <w:right w:val="nil"/>
            </w:tcBorders>
            <w:shd w:val="clear" w:color="000000" w:fill="F2F2F2"/>
            <w:vAlign w:val="center"/>
          </w:tcPr>
          <w:p w14:paraId="2E6A14BA" w14:textId="7B3F023C"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46,850,902,890.9</w:t>
            </w:r>
          </w:p>
        </w:tc>
        <w:tc>
          <w:tcPr>
            <w:tcW w:w="1437" w:type="dxa"/>
            <w:gridSpan w:val="3"/>
            <w:tcBorders>
              <w:top w:val="nil"/>
              <w:left w:val="nil"/>
              <w:bottom w:val="nil"/>
              <w:right w:val="nil"/>
            </w:tcBorders>
            <w:shd w:val="clear" w:color="000000" w:fill="F2F2F2"/>
            <w:vAlign w:val="center"/>
          </w:tcPr>
          <w:p w14:paraId="36A9F458" w14:textId="0AB09FF3"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46,850,902,890.9</w:t>
            </w:r>
          </w:p>
        </w:tc>
      </w:tr>
      <w:tr w:rsidR="00FD49B9" w:rsidRPr="00FC0913" w14:paraId="0FFA7E13" w14:textId="77777777" w:rsidTr="00515CCE">
        <w:trPr>
          <w:trHeight w:val="245"/>
          <w:jc w:val="center"/>
        </w:trPr>
        <w:tc>
          <w:tcPr>
            <w:tcW w:w="4642" w:type="dxa"/>
            <w:tcBorders>
              <w:top w:val="nil"/>
              <w:left w:val="nil"/>
              <w:bottom w:val="nil"/>
              <w:right w:val="nil"/>
            </w:tcBorders>
            <w:shd w:val="clear" w:color="000000" w:fill="F2F2F2"/>
            <w:vAlign w:val="center"/>
          </w:tcPr>
          <w:p w14:paraId="4071FC8C" w14:textId="77777777" w:rsidR="00FD49B9" w:rsidRPr="00947EC7" w:rsidRDefault="00FD49B9" w:rsidP="00FD49B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Seguro de Enfermedad y Maternidad</w:t>
            </w:r>
          </w:p>
        </w:tc>
        <w:tc>
          <w:tcPr>
            <w:tcW w:w="1518" w:type="dxa"/>
            <w:tcBorders>
              <w:top w:val="nil"/>
              <w:left w:val="nil"/>
              <w:bottom w:val="nil"/>
              <w:right w:val="nil"/>
            </w:tcBorders>
            <w:shd w:val="clear" w:color="000000" w:fill="F2F2F2"/>
            <w:vAlign w:val="center"/>
          </w:tcPr>
          <w:p w14:paraId="6FF24E1D" w14:textId="4B556855"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3,786,555,074.9</w:t>
            </w:r>
          </w:p>
        </w:tc>
        <w:tc>
          <w:tcPr>
            <w:tcW w:w="1471" w:type="dxa"/>
            <w:gridSpan w:val="2"/>
            <w:tcBorders>
              <w:top w:val="nil"/>
              <w:left w:val="nil"/>
              <w:bottom w:val="nil"/>
              <w:right w:val="nil"/>
            </w:tcBorders>
            <w:shd w:val="clear" w:color="000000" w:fill="F2F2F2"/>
            <w:vAlign w:val="center"/>
          </w:tcPr>
          <w:p w14:paraId="3DABA4C6" w14:textId="38B831F0"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1,913,024,843.6</w:t>
            </w:r>
          </w:p>
        </w:tc>
        <w:tc>
          <w:tcPr>
            <w:tcW w:w="1625" w:type="dxa"/>
            <w:gridSpan w:val="2"/>
            <w:tcBorders>
              <w:top w:val="nil"/>
              <w:left w:val="nil"/>
              <w:bottom w:val="nil"/>
              <w:right w:val="nil"/>
            </w:tcBorders>
            <w:shd w:val="clear" w:color="000000" w:fill="F2F2F2"/>
            <w:vAlign w:val="center"/>
          </w:tcPr>
          <w:p w14:paraId="7CDD0BAE" w14:textId="352D128B"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75,036,297,242.1</w:t>
            </w:r>
          </w:p>
        </w:tc>
        <w:tc>
          <w:tcPr>
            <w:tcW w:w="1605" w:type="dxa"/>
            <w:gridSpan w:val="2"/>
            <w:tcBorders>
              <w:top w:val="nil"/>
              <w:left w:val="nil"/>
              <w:bottom w:val="nil"/>
              <w:right w:val="nil"/>
            </w:tcBorders>
            <w:shd w:val="clear" w:color="000000" w:fill="F2F2F2"/>
            <w:vAlign w:val="center"/>
          </w:tcPr>
          <w:p w14:paraId="4716048D" w14:textId="7CDEA7AD"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80,735,877,160.6</w:t>
            </w:r>
          </w:p>
        </w:tc>
        <w:tc>
          <w:tcPr>
            <w:tcW w:w="1437" w:type="dxa"/>
            <w:gridSpan w:val="3"/>
            <w:tcBorders>
              <w:top w:val="nil"/>
              <w:left w:val="nil"/>
              <w:bottom w:val="nil"/>
              <w:right w:val="nil"/>
            </w:tcBorders>
            <w:shd w:val="clear" w:color="000000" w:fill="F2F2F2"/>
            <w:vAlign w:val="center"/>
          </w:tcPr>
          <w:p w14:paraId="32B97642" w14:textId="329B4F8F"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80,735,877,160.6</w:t>
            </w:r>
          </w:p>
        </w:tc>
      </w:tr>
      <w:tr w:rsidR="00FD49B9" w:rsidRPr="00FC0913" w14:paraId="79C54A13" w14:textId="77777777" w:rsidTr="00515CCE">
        <w:trPr>
          <w:trHeight w:val="245"/>
          <w:jc w:val="center"/>
        </w:trPr>
        <w:tc>
          <w:tcPr>
            <w:tcW w:w="4642" w:type="dxa"/>
            <w:tcBorders>
              <w:top w:val="nil"/>
              <w:left w:val="nil"/>
              <w:bottom w:val="nil"/>
              <w:right w:val="nil"/>
            </w:tcBorders>
            <w:shd w:val="clear" w:color="000000" w:fill="F2F2F2"/>
            <w:vAlign w:val="center"/>
          </w:tcPr>
          <w:p w14:paraId="17C345F1" w14:textId="77777777" w:rsidR="00FD49B9" w:rsidRPr="00947EC7" w:rsidRDefault="00FD49B9" w:rsidP="00FD49B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Seguro de Guarderías y Prestaciones Sociales</w:t>
            </w:r>
          </w:p>
        </w:tc>
        <w:tc>
          <w:tcPr>
            <w:tcW w:w="1518" w:type="dxa"/>
            <w:tcBorders>
              <w:top w:val="nil"/>
              <w:left w:val="nil"/>
              <w:bottom w:val="nil"/>
              <w:right w:val="nil"/>
            </w:tcBorders>
            <w:shd w:val="clear" w:color="000000" w:fill="F2F2F2"/>
            <w:vAlign w:val="center"/>
          </w:tcPr>
          <w:p w14:paraId="395EFA61" w14:textId="0DB671B0"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1,152,867,416.6</w:t>
            </w:r>
          </w:p>
        </w:tc>
        <w:tc>
          <w:tcPr>
            <w:tcW w:w="1471" w:type="dxa"/>
            <w:gridSpan w:val="2"/>
            <w:tcBorders>
              <w:top w:val="nil"/>
              <w:left w:val="nil"/>
              <w:bottom w:val="nil"/>
              <w:right w:val="nil"/>
            </w:tcBorders>
            <w:shd w:val="clear" w:color="000000" w:fill="F2F2F2"/>
            <w:vAlign w:val="center"/>
          </w:tcPr>
          <w:p w14:paraId="0BB82E30" w14:textId="4B9BC6BF"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86,642,312.1</w:t>
            </w:r>
          </w:p>
        </w:tc>
        <w:tc>
          <w:tcPr>
            <w:tcW w:w="1625" w:type="dxa"/>
            <w:gridSpan w:val="2"/>
            <w:tcBorders>
              <w:top w:val="nil"/>
              <w:left w:val="nil"/>
              <w:bottom w:val="nil"/>
              <w:right w:val="nil"/>
            </w:tcBorders>
            <w:shd w:val="clear" w:color="000000" w:fill="F2F2F2"/>
            <w:vAlign w:val="center"/>
          </w:tcPr>
          <w:p w14:paraId="33D09DD6" w14:textId="6844CA87"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1,406,983,717.8</w:t>
            </w:r>
          </w:p>
        </w:tc>
        <w:tc>
          <w:tcPr>
            <w:tcW w:w="1605" w:type="dxa"/>
            <w:gridSpan w:val="2"/>
            <w:tcBorders>
              <w:top w:val="nil"/>
              <w:left w:val="nil"/>
              <w:bottom w:val="nil"/>
              <w:right w:val="nil"/>
            </w:tcBorders>
            <w:shd w:val="clear" w:color="000000" w:fill="F2F2F2"/>
            <w:vAlign w:val="center"/>
          </w:tcPr>
          <w:p w14:paraId="6543EFA2" w14:textId="415540E3"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2,646,493,446.5</w:t>
            </w:r>
          </w:p>
        </w:tc>
        <w:tc>
          <w:tcPr>
            <w:tcW w:w="1437" w:type="dxa"/>
            <w:gridSpan w:val="3"/>
            <w:tcBorders>
              <w:top w:val="nil"/>
              <w:left w:val="nil"/>
              <w:bottom w:val="nil"/>
              <w:right w:val="nil"/>
            </w:tcBorders>
            <w:shd w:val="clear" w:color="000000" w:fill="F2F2F2"/>
            <w:vAlign w:val="center"/>
          </w:tcPr>
          <w:p w14:paraId="7A4D1255" w14:textId="6469DDAC"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2,646,493,446.5</w:t>
            </w:r>
          </w:p>
        </w:tc>
      </w:tr>
      <w:tr w:rsidR="00FD49B9" w:rsidRPr="00FC0913" w14:paraId="1D7C8531" w14:textId="77777777" w:rsidTr="00515CCE">
        <w:trPr>
          <w:trHeight w:val="245"/>
          <w:jc w:val="center"/>
        </w:trPr>
        <w:tc>
          <w:tcPr>
            <w:tcW w:w="4642" w:type="dxa"/>
            <w:tcBorders>
              <w:top w:val="nil"/>
              <w:left w:val="nil"/>
              <w:bottom w:val="nil"/>
              <w:right w:val="nil"/>
            </w:tcBorders>
            <w:shd w:val="clear" w:color="000000" w:fill="F2F2F2"/>
            <w:vAlign w:val="center"/>
          </w:tcPr>
          <w:p w14:paraId="20B7BD34" w14:textId="77777777" w:rsidR="00FD49B9" w:rsidRPr="00947EC7" w:rsidRDefault="00FD49B9" w:rsidP="00FD49B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Invalidez y Vida</w:t>
            </w:r>
          </w:p>
        </w:tc>
        <w:tc>
          <w:tcPr>
            <w:tcW w:w="1518" w:type="dxa"/>
            <w:tcBorders>
              <w:top w:val="nil"/>
              <w:left w:val="nil"/>
              <w:bottom w:val="nil"/>
              <w:right w:val="nil"/>
            </w:tcBorders>
            <w:shd w:val="clear" w:color="000000" w:fill="F2F2F2"/>
            <w:vAlign w:val="center"/>
          </w:tcPr>
          <w:p w14:paraId="43E248EF" w14:textId="0BE2FC21"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773,333,954.2</w:t>
            </w:r>
          </w:p>
        </w:tc>
        <w:tc>
          <w:tcPr>
            <w:tcW w:w="1471" w:type="dxa"/>
            <w:gridSpan w:val="2"/>
            <w:tcBorders>
              <w:top w:val="nil"/>
              <w:left w:val="nil"/>
              <w:bottom w:val="nil"/>
              <w:right w:val="nil"/>
            </w:tcBorders>
            <w:shd w:val="clear" w:color="000000" w:fill="F2F2F2"/>
            <w:vAlign w:val="center"/>
          </w:tcPr>
          <w:p w14:paraId="5B14D8E2" w14:textId="37B32399"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361,652,273.0</w:t>
            </w:r>
          </w:p>
        </w:tc>
        <w:tc>
          <w:tcPr>
            <w:tcW w:w="1625" w:type="dxa"/>
            <w:gridSpan w:val="2"/>
            <w:tcBorders>
              <w:top w:val="nil"/>
              <w:left w:val="nil"/>
              <w:bottom w:val="nil"/>
              <w:right w:val="nil"/>
            </w:tcBorders>
            <w:shd w:val="clear" w:color="000000" w:fill="F2F2F2"/>
            <w:vAlign w:val="center"/>
          </w:tcPr>
          <w:p w14:paraId="49D12AB2" w14:textId="0E4D4E0B"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25,131,181,759.</w:t>
            </w:r>
            <w:r w:rsidR="006D2597">
              <w:rPr>
                <w:rFonts w:ascii="Noto Sans" w:hAnsi="Noto Sans" w:cs="Noto Sans"/>
                <w:color w:val="000000"/>
                <w:sz w:val="15"/>
                <w:szCs w:val="15"/>
              </w:rPr>
              <w:t>9</w:t>
            </w:r>
          </w:p>
        </w:tc>
        <w:tc>
          <w:tcPr>
            <w:tcW w:w="1605" w:type="dxa"/>
            <w:gridSpan w:val="2"/>
            <w:tcBorders>
              <w:top w:val="nil"/>
              <w:left w:val="nil"/>
              <w:bottom w:val="nil"/>
              <w:right w:val="nil"/>
            </w:tcBorders>
            <w:shd w:val="clear" w:color="000000" w:fill="F2F2F2"/>
            <w:vAlign w:val="center"/>
          </w:tcPr>
          <w:p w14:paraId="785FCB46" w14:textId="699926A8"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26,266,167,987.1</w:t>
            </w:r>
          </w:p>
        </w:tc>
        <w:tc>
          <w:tcPr>
            <w:tcW w:w="1437" w:type="dxa"/>
            <w:gridSpan w:val="3"/>
            <w:tcBorders>
              <w:top w:val="nil"/>
              <w:left w:val="nil"/>
              <w:bottom w:val="nil"/>
              <w:right w:val="nil"/>
            </w:tcBorders>
            <w:shd w:val="clear" w:color="000000" w:fill="F2F2F2"/>
            <w:vAlign w:val="center"/>
          </w:tcPr>
          <w:p w14:paraId="0E0629C1" w14:textId="193C8364"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26,266,167,987.1</w:t>
            </w:r>
          </w:p>
        </w:tc>
      </w:tr>
      <w:tr w:rsidR="00FD49B9" w:rsidRPr="00FC0913" w14:paraId="050F0E2E" w14:textId="77777777" w:rsidTr="00515CCE">
        <w:trPr>
          <w:trHeight w:val="245"/>
          <w:jc w:val="center"/>
        </w:trPr>
        <w:tc>
          <w:tcPr>
            <w:tcW w:w="4642" w:type="dxa"/>
            <w:tcBorders>
              <w:top w:val="nil"/>
              <w:left w:val="nil"/>
              <w:bottom w:val="nil"/>
              <w:right w:val="nil"/>
            </w:tcBorders>
            <w:shd w:val="clear" w:color="000000" w:fill="F2F2F2"/>
            <w:vAlign w:val="center"/>
          </w:tcPr>
          <w:p w14:paraId="4D0E657E" w14:textId="77777777" w:rsidR="00FD49B9" w:rsidRPr="00947EC7" w:rsidRDefault="00FD49B9" w:rsidP="00FD49B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Riesgo de Trabajo</w:t>
            </w:r>
          </w:p>
        </w:tc>
        <w:tc>
          <w:tcPr>
            <w:tcW w:w="1518" w:type="dxa"/>
            <w:tcBorders>
              <w:top w:val="nil"/>
              <w:left w:val="nil"/>
              <w:bottom w:val="nil"/>
              <w:right w:val="nil"/>
            </w:tcBorders>
            <w:shd w:val="clear" w:color="000000" w:fill="F2F2F2"/>
            <w:vAlign w:val="center"/>
          </w:tcPr>
          <w:p w14:paraId="3C58718F" w14:textId="7C54F362"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687,164,008.1</w:t>
            </w:r>
          </w:p>
        </w:tc>
        <w:tc>
          <w:tcPr>
            <w:tcW w:w="1471" w:type="dxa"/>
            <w:gridSpan w:val="2"/>
            <w:tcBorders>
              <w:top w:val="nil"/>
              <w:left w:val="nil"/>
              <w:bottom w:val="nil"/>
              <w:right w:val="nil"/>
            </w:tcBorders>
            <w:shd w:val="clear" w:color="000000" w:fill="F2F2F2"/>
            <w:vAlign w:val="center"/>
          </w:tcPr>
          <w:p w14:paraId="28094C2C" w14:textId="60F59D77"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185,487,494.5</w:t>
            </w:r>
          </w:p>
        </w:tc>
        <w:tc>
          <w:tcPr>
            <w:tcW w:w="1625" w:type="dxa"/>
            <w:gridSpan w:val="2"/>
            <w:tcBorders>
              <w:top w:val="nil"/>
              <w:left w:val="nil"/>
              <w:bottom w:val="nil"/>
              <w:right w:val="nil"/>
            </w:tcBorders>
            <w:shd w:val="clear" w:color="000000" w:fill="F2F2F2"/>
            <w:vAlign w:val="center"/>
          </w:tcPr>
          <w:p w14:paraId="07BC09EE" w14:textId="72926B0B"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19,159,634,011.3</w:t>
            </w:r>
          </w:p>
        </w:tc>
        <w:tc>
          <w:tcPr>
            <w:tcW w:w="1605" w:type="dxa"/>
            <w:gridSpan w:val="2"/>
            <w:tcBorders>
              <w:top w:val="nil"/>
              <w:left w:val="nil"/>
              <w:bottom w:val="nil"/>
              <w:right w:val="nil"/>
            </w:tcBorders>
            <w:shd w:val="clear" w:color="000000" w:fill="F2F2F2"/>
            <w:vAlign w:val="center"/>
          </w:tcPr>
          <w:p w14:paraId="53D5B00C" w14:textId="73C462F0"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20,032,285,513.9</w:t>
            </w:r>
          </w:p>
        </w:tc>
        <w:tc>
          <w:tcPr>
            <w:tcW w:w="1437" w:type="dxa"/>
            <w:gridSpan w:val="3"/>
            <w:tcBorders>
              <w:top w:val="nil"/>
              <w:left w:val="nil"/>
              <w:bottom w:val="nil"/>
              <w:right w:val="nil"/>
            </w:tcBorders>
            <w:shd w:val="clear" w:color="000000" w:fill="F2F2F2"/>
            <w:vAlign w:val="center"/>
          </w:tcPr>
          <w:p w14:paraId="47CFAC3A" w14:textId="4D9E79C7" w:rsidR="00FD49B9" w:rsidRPr="00E91CFF" w:rsidRDefault="00FD49B9" w:rsidP="00FD49B9">
            <w:pPr>
              <w:spacing w:after="0" w:line="240" w:lineRule="auto"/>
              <w:jc w:val="right"/>
              <w:rPr>
                <w:rFonts w:ascii="Noto Sans" w:hAnsi="Noto Sans" w:cs="Noto Sans"/>
                <w:sz w:val="15"/>
                <w:szCs w:val="15"/>
              </w:rPr>
            </w:pPr>
            <w:r>
              <w:rPr>
                <w:rFonts w:ascii="Noto Sans" w:hAnsi="Noto Sans" w:cs="Noto Sans"/>
                <w:color w:val="000000"/>
                <w:sz w:val="15"/>
                <w:szCs w:val="15"/>
              </w:rPr>
              <w:t>20,032,285,513.9</w:t>
            </w:r>
          </w:p>
        </w:tc>
      </w:tr>
      <w:tr w:rsidR="008E448F" w:rsidRPr="00FC0913" w14:paraId="1DC10AEF" w14:textId="77777777" w:rsidTr="006D2597">
        <w:trPr>
          <w:trHeight w:val="336"/>
          <w:jc w:val="center"/>
        </w:trPr>
        <w:tc>
          <w:tcPr>
            <w:tcW w:w="4642" w:type="dxa"/>
            <w:tcBorders>
              <w:top w:val="nil"/>
              <w:left w:val="nil"/>
              <w:bottom w:val="nil"/>
              <w:right w:val="nil"/>
            </w:tcBorders>
            <w:shd w:val="clear" w:color="000000" w:fill="F2F2F2"/>
            <w:vAlign w:val="center"/>
          </w:tcPr>
          <w:p w14:paraId="2D9FBDC6" w14:textId="77777777" w:rsidR="008E448F" w:rsidRPr="00947EC7" w:rsidRDefault="008E448F" w:rsidP="008E448F">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w:t>
            </w:r>
          </w:p>
        </w:tc>
        <w:tc>
          <w:tcPr>
            <w:tcW w:w="1518" w:type="dxa"/>
            <w:tcBorders>
              <w:top w:val="nil"/>
              <w:left w:val="nil"/>
              <w:bottom w:val="nil"/>
              <w:right w:val="nil"/>
            </w:tcBorders>
            <w:shd w:val="clear" w:color="000000" w:fill="F2F2F2"/>
            <w:vAlign w:val="center"/>
          </w:tcPr>
          <w:p w14:paraId="64401E35" w14:textId="5407070A" w:rsidR="008E448F" w:rsidRPr="00E91CFF" w:rsidRDefault="008E448F" w:rsidP="00991FFB">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 xml:space="preserve">   126,200,677,918.0</w:t>
            </w:r>
          </w:p>
        </w:tc>
        <w:tc>
          <w:tcPr>
            <w:tcW w:w="1471" w:type="dxa"/>
            <w:gridSpan w:val="2"/>
            <w:tcBorders>
              <w:top w:val="nil"/>
              <w:left w:val="nil"/>
              <w:bottom w:val="nil"/>
              <w:right w:val="nil"/>
            </w:tcBorders>
            <w:shd w:val="clear" w:color="000000" w:fill="F2F2F2"/>
            <w:vAlign w:val="center"/>
          </w:tcPr>
          <w:p w14:paraId="23407D55" w14:textId="65461088" w:rsidR="00923A25" w:rsidRDefault="00923A25" w:rsidP="00923A25">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 xml:space="preserve">          80,575,065,312.</w:t>
            </w:r>
            <w:r w:rsidR="00991FFB">
              <w:rPr>
                <w:rFonts w:ascii="Noto Sans" w:hAnsi="Noto Sans" w:cs="Noto Sans"/>
                <w:b/>
                <w:bCs/>
                <w:color w:val="000000"/>
                <w:sz w:val="15"/>
                <w:szCs w:val="15"/>
              </w:rPr>
              <w:t>3</w:t>
            </w:r>
          </w:p>
          <w:p w14:paraId="0AD3C9D3" w14:textId="0B122B0B" w:rsidR="008E448F" w:rsidRPr="006D2597" w:rsidRDefault="008E448F" w:rsidP="008E448F">
            <w:pPr>
              <w:spacing w:after="0" w:line="240" w:lineRule="auto"/>
              <w:jc w:val="right"/>
              <w:rPr>
                <w:rFonts w:ascii="Noto Sans" w:hAnsi="Noto Sans" w:cs="Noto Sans"/>
                <w:b/>
                <w:bCs/>
                <w:color w:val="000000"/>
                <w:sz w:val="15"/>
                <w:szCs w:val="15"/>
              </w:rPr>
            </w:pPr>
          </w:p>
        </w:tc>
        <w:tc>
          <w:tcPr>
            <w:tcW w:w="1625" w:type="dxa"/>
            <w:gridSpan w:val="2"/>
            <w:tcBorders>
              <w:top w:val="nil"/>
              <w:left w:val="nil"/>
              <w:bottom w:val="nil"/>
              <w:right w:val="nil"/>
            </w:tcBorders>
            <w:shd w:val="clear" w:color="000000" w:fill="F2F2F2"/>
            <w:vAlign w:val="center"/>
          </w:tcPr>
          <w:p w14:paraId="79F24CB6" w14:textId="74B356AF" w:rsidR="008E448F" w:rsidRPr="00E91CFF" w:rsidRDefault="00050137" w:rsidP="00991FFB">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 xml:space="preserve">      220,067,066,555.7</w:t>
            </w:r>
          </w:p>
        </w:tc>
        <w:tc>
          <w:tcPr>
            <w:tcW w:w="1605" w:type="dxa"/>
            <w:gridSpan w:val="2"/>
            <w:tcBorders>
              <w:top w:val="nil"/>
              <w:left w:val="nil"/>
              <w:bottom w:val="nil"/>
              <w:right w:val="nil"/>
            </w:tcBorders>
            <w:shd w:val="clear" w:color="000000" w:fill="F2F2F2"/>
            <w:vAlign w:val="center"/>
          </w:tcPr>
          <w:p w14:paraId="29CCF36C" w14:textId="4E5318B1" w:rsidR="00CF77BC" w:rsidRDefault="00CF77BC" w:rsidP="00CF77BC">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rPr>
              <w:t xml:space="preserve">                 426,842,809,786.</w:t>
            </w:r>
            <w:r w:rsidR="00D75638">
              <w:rPr>
                <w:rFonts w:ascii="Noto Sans" w:hAnsi="Noto Sans" w:cs="Noto Sans"/>
                <w:b/>
                <w:bCs/>
                <w:color w:val="000000"/>
                <w:sz w:val="15"/>
                <w:szCs w:val="15"/>
              </w:rPr>
              <w:t>0</w:t>
            </w:r>
            <w:r>
              <w:rPr>
                <w:rFonts w:ascii="Noto Sans" w:hAnsi="Noto Sans" w:cs="Noto Sans"/>
                <w:b/>
                <w:bCs/>
                <w:color w:val="000000"/>
                <w:sz w:val="15"/>
                <w:szCs w:val="15"/>
              </w:rPr>
              <w:t xml:space="preserve"> </w:t>
            </w:r>
          </w:p>
          <w:p w14:paraId="5F75D0A3" w14:textId="04004329" w:rsidR="008E448F" w:rsidRPr="00E91CFF" w:rsidRDefault="008E448F" w:rsidP="008E448F">
            <w:pPr>
              <w:spacing w:after="0" w:line="240" w:lineRule="auto"/>
              <w:jc w:val="right"/>
              <w:rPr>
                <w:rFonts w:ascii="Noto Sans" w:eastAsia="Times New Roman" w:hAnsi="Noto Sans" w:cs="Noto Sans"/>
                <w:b/>
                <w:bCs/>
                <w:color w:val="000000"/>
                <w:sz w:val="15"/>
                <w:szCs w:val="15"/>
                <w:lang w:val="es-ES" w:eastAsia="es-MX"/>
              </w:rPr>
            </w:pPr>
          </w:p>
        </w:tc>
        <w:tc>
          <w:tcPr>
            <w:tcW w:w="1437" w:type="dxa"/>
            <w:gridSpan w:val="3"/>
            <w:tcBorders>
              <w:top w:val="nil"/>
              <w:left w:val="nil"/>
              <w:bottom w:val="nil"/>
              <w:right w:val="nil"/>
            </w:tcBorders>
            <w:shd w:val="clear" w:color="000000" w:fill="F2F2F2"/>
            <w:vAlign w:val="center"/>
          </w:tcPr>
          <w:p w14:paraId="7F4179B9" w14:textId="293F9C91" w:rsidR="00FD49B9" w:rsidRDefault="00FD49B9" w:rsidP="00FD49B9">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rPr>
              <w:t xml:space="preserve">                  326,017,458,253.</w:t>
            </w:r>
            <w:r w:rsidR="006D2597">
              <w:rPr>
                <w:rFonts w:ascii="Noto Sans" w:hAnsi="Noto Sans" w:cs="Noto Sans"/>
                <w:b/>
                <w:bCs/>
                <w:color w:val="000000"/>
                <w:sz w:val="15"/>
                <w:szCs w:val="15"/>
              </w:rPr>
              <w:t>3</w:t>
            </w:r>
            <w:r>
              <w:rPr>
                <w:rFonts w:ascii="Noto Sans" w:hAnsi="Noto Sans" w:cs="Noto Sans"/>
                <w:b/>
                <w:bCs/>
                <w:color w:val="000000"/>
                <w:sz w:val="15"/>
                <w:szCs w:val="15"/>
              </w:rPr>
              <w:t xml:space="preserve"> </w:t>
            </w:r>
          </w:p>
          <w:p w14:paraId="45D1D40F" w14:textId="7B610E46" w:rsidR="008E448F" w:rsidRPr="00E91CFF" w:rsidRDefault="008E448F" w:rsidP="008E448F">
            <w:pPr>
              <w:spacing w:after="0" w:line="240" w:lineRule="auto"/>
              <w:jc w:val="right"/>
              <w:rPr>
                <w:rFonts w:ascii="Noto Sans" w:hAnsi="Noto Sans" w:cs="Noto Sans"/>
                <w:b/>
                <w:bCs/>
                <w:color w:val="000000"/>
                <w:sz w:val="15"/>
                <w:szCs w:val="15"/>
                <w:lang w:eastAsia="es-MX"/>
              </w:rPr>
            </w:pPr>
          </w:p>
        </w:tc>
      </w:tr>
      <w:tr w:rsidR="00E70041" w:rsidRPr="00FC0913" w14:paraId="0BD0EC52" w14:textId="77777777" w:rsidTr="00515CCE">
        <w:trPr>
          <w:trHeight w:val="245"/>
          <w:jc w:val="center"/>
        </w:trPr>
        <w:tc>
          <w:tcPr>
            <w:tcW w:w="4642" w:type="dxa"/>
            <w:tcBorders>
              <w:top w:val="nil"/>
              <w:left w:val="nil"/>
              <w:bottom w:val="nil"/>
              <w:right w:val="nil"/>
            </w:tcBorders>
            <w:shd w:val="clear" w:color="000000" w:fill="F2F2F2"/>
            <w:vAlign w:val="center"/>
          </w:tcPr>
          <w:p w14:paraId="11CD313E" w14:textId="77777777" w:rsidR="00E70041" w:rsidRPr="00947EC7" w:rsidRDefault="00E70041" w:rsidP="00E70041">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1 (RJPS1)</w:t>
            </w:r>
          </w:p>
        </w:tc>
        <w:tc>
          <w:tcPr>
            <w:tcW w:w="1518" w:type="dxa"/>
            <w:tcBorders>
              <w:top w:val="nil"/>
              <w:left w:val="nil"/>
              <w:bottom w:val="nil"/>
              <w:right w:val="nil"/>
            </w:tcBorders>
            <w:shd w:val="clear" w:color="000000" w:fill="F2F2F2"/>
            <w:vAlign w:val="center"/>
          </w:tcPr>
          <w:p w14:paraId="07E6D6C4" w14:textId="7B3F67B9"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2,248,491,898.9</w:t>
            </w:r>
          </w:p>
        </w:tc>
        <w:tc>
          <w:tcPr>
            <w:tcW w:w="1471" w:type="dxa"/>
            <w:gridSpan w:val="2"/>
            <w:tcBorders>
              <w:top w:val="nil"/>
              <w:left w:val="nil"/>
              <w:bottom w:val="nil"/>
              <w:right w:val="nil"/>
            </w:tcBorders>
            <w:shd w:val="clear" w:color="000000" w:fill="F2F2F2"/>
            <w:vAlign w:val="center"/>
          </w:tcPr>
          <w:p w14:paraId="3DC9DC5E" w14:textId="71532056"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707,851,761.6</w:t>
            </w:r>
          </w:p>
        </w:tc>
        <w:tc>
          <w:tcPr>
            <w:tcW w:w="1625" w:type="dxa"/>
            <w:gridSpan w:val="2"/>
            <w:tcBorders>
              <w:top w:val="nil"/>
              <w:left w:val="nil"/>
              <w:bottom w:val="nil"/>
              <w:right w:val="nil"/>
            </w:tcBorders>
            <w:shd w:val="clear" w:color="000000" w:fill="F2F2F2"/>
            <w:vAlign w:val="center"/>
          </w:tcPr>
          <w:p w14:paraId="0417E0B6" w14:textId="036C2621"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9,729,209,425.6</w:t>
            </w:r>
          </w:p>
        </w:tc>
        <w:tc>
          <w:tcPr>
            <w:tcW w:w="1605" w:type="dxa"/>
            <w:gridSpan w:val="2"/>
            <w:tcBorders>
              <w:top w:val="nil"/>
              <w:left w:val="nil"/>
              <w:bottom w:val="nil"/>
              <w:right w:val="nil"/>
            </w:tcBorders>
            <w:shd w:val="clear" w:color="000000" w:fill="F2F2F2"/>
            <w:vAlign w:val="center"/>
          </w:tcPr>
          <w:p w14:paraId="23146270" w14:textId="7070943D"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12,685,553,086.1</w:t>
            </w:r>
          </w:p>
        </w:tc>
        <w:tc>
          <w:tcPr>
            <w:tcW w:w="1437" w:type="dxa"/>
            <w:gridSpan w:val="3"/>
            <w:tcBorders>
              <w:top w:val="nil"/>
              <w:left w:val="nil"/>
              <w:bottom w:val="nil"/>
              <w:right w:val="nil"/>
            </w:tcBorders>
            <w:shd w:val="clear" w:color="000000" w:fill="F2F2F2"/>
            <w:vAlign w:val="center"/>
          </w:tcPr>
          <w:p w14:paraId="60111EA1" w14:textId="08D91AFE"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12,686,343,160.0</w:t>
            </w:r>
          </w:p>
        </w:tc>
      </w:tr>
      <w:tr w:rsidR="00E70041" w:rsidRPr="00FC0913" w14:paraId="4F1893FE" w14:textId="77777777" w:rsidTr="00515CCE">
        <w:trPr>
          <w:trHeight w:val="245"/>
          <w:jc w:val="center"/>
        </w:trPr>
        <w:tc>
          <w:tcPr>
            <w:tcW w:w="4642" w:type="dxa"/>
            <w:tcBorders>
              <w:top w:val="nil"/>
              <w:left w:val="nil"/>
              <w:bottom w:val="nil"/>
              <w:right w:val="nil"/>
            </w:tcBorders>
            <w:shd w:val="clear" w:color="000000" w:fill="F2F2F2"/>
            <w:vAlign w:val="center"/>
          </w:tcPr>
          <w:p w14:paraId="6906B37E" w14:textId="77777777" w:rsidR="00E70041" w:rsidRPr="00947EC7" w:rsidRDefault="00E70041" w:rsidP="00E70041">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2 (RJPS2)</w:t>
            </w:r>
          </w:p>
        </w:tc>
        <w:tc>
          <w:tcPr>
            <w:tcW w:w="1518" w:type="dxa"/>
            <w:tcBorders>
              <w:top w:val="nil"/>
              <w:left w:val="nil"/>
              <w:bottom w:val="nil"/>
              <w:right w:val="nil"/>
            </w:tcBorders>
            <w:shd w:val="clear" w:color="000000" w:fill="F2F2F2"/>
            <w:vAlign w:val="center"/>
          </w:tcPr>
          <w:p w14:paraId="4120E155" w14:textId="26F46FC2"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7,862,184,837.1</w:t>
            </w:r>
          </w:p>
        </w:tc>
        <w:tc>
          <w:tcPr>
            <w:tcW w:w="1471" w:type="dxa"/>
            <w:gridSpan w:val="2"/>
            <w:tcBorders>
              <w:top w:val="nil"/>
              <w:left w:val="nil"/>
              <w:bottom w:val="nil"/>
              <w:right w:val="nil"/>
            </w:tcBorders>
            <w:shd w:val="clear" w:color="000000" w:fill="F2F2F2"/>
            <w:vAlign w:val="center"/>
          </w:tcPr>
          <w:p w14:paraId="25715DAF" w14:textId="0E0645F0"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3,764,407,025.4</w:t>
            </w:r>
          </w:p>
        </w:tc>
        <w:tc>
          <w:tcPr>
            <w:tcW w:w="1625" w:type="dxa"/>
            <w:gridSpan w:val="2"/>
            <w:tcBorders>
              <w:top w:val="nil"/>
              <w:left w:val="nil"/>
              <w:bottom w:val="nil"/>
              <w:right w:val="nil"/>
            </w:tcBorders>
            <w:shd w:val="clear" w:color="000000" w:fill="F2F2F2"/>
            <w:vAlign w:val="center"/>
          </w:tcPr>
          <w:p w14:paraId="0923DA52" w14:textId="56B33A7C"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149,703,911,046.1</w:t>
            </w:r>
          </w:p>
        </w:tc>
        <w:tc>
          <w:tcPr>
            <w:tcW w:w="1605" w:type="dxa"/>
            <w:gridSpan w:val="2"/>
            <w:tcBorders>
              <w:top w:val="nil"/>
              <w:left w:val="nil"/>
              <w:bottom w:val="nil"/>
              <w:right w:val="nil"/>
            </w:tcBorders>
            <w:shd w:val="clear" w:color="000000" w:fill="F2F2F2"/>
            <w:vAlign w:val="center"/>
          </w:tcPr>
          <w:p w14:paraId="3F7B23CD" w14:textId="4D161801"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161,330,502,908.6</w:t>
            </w:r>
          </w:p>
        </w:tc>
        <w:tc>
          <w:tcPr>
            <w:tcW w:w="1437" w:type="dxa"/>
            <w:gridSpan w:val="3"/>
            <w:tcBorders>
              <w:top w:val="nil"/>
              <w:left w:val="nil"/>
              <w:bottom w:val="nil"/>
              <w:right w:val="nil"/>
            </w:tcBorders>
            <w:shd w:val="clear" w:color="000000" w:fill="F2F2F2"/>
            <w:vAlign w:val="center"/>
          </w:tcPr>
          <w:p w14:paraId="72194929" w14:textId="1AA21748" w:rsidR="00E70041" w:rsidRPr="00E91CFF" w:rsidRDefault="00E70041" w:rsidP="00E70041">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161,331,132,111.1</w:t>
            </w:r>
          </w:p>
        </w:tc>
      </w:tr>
      <w:tr w:rsidR="00E91CFF" w:rsidRPr="00FC0913" w14:paraId="12719316" w14:textId="77777777" w:rsidTr="00515CCE">
        <w:trPr>
          <w:trHeight w:val="245"/>
          <w:jc w:val="center"/>
        </w:trPr>
        <w:tc>
          <w:tcPr>
            <w:tcW w:w="4642" w:type="dxa"/>
            <w:tcBorders>
              <w:top w:val="nil"/>
              <w:left w:val="nil"/>
              <w:bottom w:val="nil"/>
              <w:right w:val="nil"/>
            </w:tcBorders>
            <w:shd w:val="clear" w:color="000000" w:fill="F2F2F2"/>
            <w:vAlign w:val="center"/>
          </w:tcPr>
          <w:p w14:paraId="7CF258E7" w14:textId="77777777" w:rsidR="00E91CFF" w:rsidRPr="00947EC7" w:rsidRDefault="00E91CFF" w:rsidP="00E35210">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 y Fondo Laboral</w:t>
            </w:r>
          </w:p>
        </w:tc>
        <w:tc>
          <w:tcPr>
            <w:tcW w:w="1518" w:type="dxa"/>
            <w:tcBorders>
              <w:top w:val="nil"/>
              <w:left w:val="nil"/>
              <w:bottom w:val="nil"/>
              <w:right w:val="nil"/>
            </w:tcBorders>
            <w:shd w:val="clear" w:color="000000" w:fill="F2F2F2"/>
            <w:vAlign w:val="center"/>
          </w:tcPr>
          <w:p w14:paraId="784989C1" w14:textId="165852B9" w:rsidR="00E91CFF" w:rsidRPr="00E91CFF" w:rsidRDefault="0073704B"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136,311,354,654.0</w:t>
            </w:r>
            <w:r w:rsidR="00E91CFF" w:rsidRPr="00E91CFF">
              <w:rPr>
                <w:rFonts w:ascii="Noto Sans" w:hAnsi="Noto Sans" w:cs="Noto Sans"/>
                <w:b/>
                <w:bCs/>
                <w:color w:val="000000"/>
                <w:sz w:val="15"/>
                <w:szCs w:val="15"/>
              </w:rPr>
              <w:t xml:space="preserve"> </w:t>
            </w:r>
          </w:p>
        </w:tc>
        <w:tc>
          <w:tcPr>
            <w:tcW w:w="1471" w:type="dxa"/>
            <w:gridSpan w:val="2"/>
            <w:tcBorders>
              <w:top w:val="nil"/>
              <w:left w:val="nil"/>
              <w:bottom w:val="nil"/>
              <w:right w:val="nil"/>
            </w:tcBorders>
            <w:shd w:val="clear" w:color="000000" w:fill="F2F2F2"/>
            <w:vAlign w:val="center"/>
          </w:tcPr>
          <w:p w14:paraId="3836AA6C" w14:textId="156962C8" w:rsidR="00E91CFF" w:rsidRPr="00E91CFF" w:rsidRDefault="00665CBD"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85,047,324,099.</w:t>
            </w:r>
            <w:r w:rsidR="00991FFB">
              <w:rPr>
                <w:rFonts w:ascii="Noto Sans" w:hAnsi="Noto Sans" w:cs="Noto Sans"/>
                <w:b/>
                <w:bCs/>
                <w:color w:val="000000"/>
                <w:sz w:val="15"/>
                <w:szCs w:val="15"/>
              </w:rPr>
              <w:t>3</w:t>
            </w:r>
          </w:p>
        </w:tc>
        <w:tc>
          <w:tcPr>
            <w:tcW w:w="1625" w:type="dxa"/>
            <w:gridSpan w:val="2"/>
            <w:tcBorders>
              <w:top w:val="nil"/>
              <w:left w:val="nil"/>
              <w:bottom w:val="nil"/>
              <w:right w:val="nil"/>
            </w:tcBorders>
            <w:shd w:val="clear" w:color="000000" w:fill="F2F2F2"/>
            <w:vAlign w:val="center"/>
          </w:tcPr>
          <w:p w14:paraId="2434CE13" w14:textId="769958D1"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    </w:t>
            </w:r>
            <w:r w:rsidR="00665CBD">
              <w:rPr>
                <w:rFonts w:ascii="Noto Sans" w:hAnsi="Noto Sans" w:cs="Noto Sans"/>
                <w:b/>
                <w:bCs/>
                <w:color w:val="000000"/>
                <w:sz w:val="15"/>
                <w:szCs w:val="15"/>
              </w:rPr>
              <w:t>379,50</w:t>
            </w:r>
            <w:r w:rsidR="00450E29">
              <w:rPr>
                <w:rFonts w:ascii="Noto Sans" w:hAnsi="Noto Sans" w:cs="Noto Sans"/>
                <w:b/>
                <w:bCs/>
                <w:color w:val="000000"/>
                <w:sz w:val="15"/>
                <w:szCs w:val="15"/>
              </w:rPr>
              <w:t>0</w:t>
            </w:r>
            <w:r w:rsidR="00665CBD">
              <w:rPr>
                <w:rFonts w:ascii="Noto Sans" w:hAnsi="Noto Sans" w:cs="Noto Sans"/>
                <w:b/>
                <w:bCs/>
                <w:color w:val="000000"/>
                <w:sz w:val="15"/>
                <w:szCs w:val="15"/>
              </w:rPr>
              <w:t>,187,027.4</w:t>
            </w:r>
            <w:r w:rsidRPr="00E91CFF">
              <w:rPr>
                <w:rFonts w:ascii="Noto Sans" w:hAnsi="Noto Sans" w:cs="Noto Sans"/>
                <w:b/>
                <w:bCs/>
                <w:color w:val="000000"/>
                <w:sz w:val="15"/>
                <w:szCs w:val="15"/>
              </w:rPr>
              <w:t xml:space="preserve"> </w:t>
            </w:r>
          </w:p>
        </w:tc>
        <w:tc>
          <w:tcPr>
            <w:tcW w:w="1605" w:type="dxa"/>
            <w:gridSpan w:val="2"/>
            <w:tcBorders>
              <w:top w:val="nil"/>
              <w:left w:val="nil"/>
              <w:bottom w:val="nil"/>
              <w:right w:val="nil"/>
            </w:tcBorders>
            <w:shd w:val="clear" w:color="000000" w:fill="F2F2F2"/>
            <w:vAlign w:val="center"/>
          </w:tcPr>
          <w:p w14:paraId="18D26467" w14:textId="13A9FCCD" w:rsidR="00E91CFF" w:rsidRPr="00E91CFF" w:rsidRDefault="00450E29"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600,858,865,780.7</w:t>
            </w:r>
            <w:r w:rsidR="00E91CFF" w:rsidRPr="00E91CFF">
              <w:rPr>
                <w:rFonts w:ascii="Noto Sans" w:hAnsi="Noto Sans" w:cs="Noto Sans"/>
                <w:b/>
                <w:bCs/>
                <w:color w:val="000000"/>
                <w:sz w:val="15"/>
                <w:szCs w:val="15"/>
              </w:rPr>
              <w:t xml:space="preserve"> </w:t>
            </w:r>
          </w:p>
        </w:tc>
        <w:tc>
          <w:tcPr>
            <w:tcW w:w="1437" w:type="dxa"/>
            <w:gridSpan w:val="3"/>
            <w:tcBorders>
              <w:top w:val="nil"/>
              <w:left w:val="nil"/>
              <w:bottom w:val="nil"/>
              <w:right w:val="nil"/>
            </w:tcBorders>
            <w:shd w:val="clear" w:color="000000" w:fill="F2F2F2"/>
            <w:vAlign w:val="center"/>
          </w:tcPr>
          <w:p w14:paraId="5A62916B" w14:textId="3BBB1A11" w:rsidR="00E91CFF" w:rsidRPr="00E91CFF" w:rsidRDefault="00450E29" w:rsidP="00E35210">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rPr>
              <w:t>500,034,933,524.4</w:t>
            </w:r>
            <w:r w:rsidR="00E91CFF" w:rsidRPr="00E91CFF">
              <w:rPr>
                <w:rFonts w:ascii="Noto Sans" w:hAnsi="Noto Sans" w:cs="Noto Sans"/>
                <w:b/>
                <w:bCs/>
                <w:color w:val="000000"/>
                <w:sz w:val="15"/>
                <w:szCs w:val="15"/>
              </w:rPr>
              <w:t xml:space="preserve"> </w:t>
            </w:r>
          </w:p>
        </w:tc>
      </w:tr>
      <w:tr w:rsidR="00E36B09" w:rsidRPr="00FC0913" w14:paraId="1B5E66D3" w14:textId="77777777" w:rsidTr="00515CCE">
        <w:trPr>
          <w:trHeight w:val="245"/>
          <w:jc w:val="center"/>
        </w:trPr>
        <w:tc>
          <w:tcPr>
            <w:tcW w:w="4642" w:type="dxa"/>
            <w:tcBorders>
              <w:top w:val="nil"/>
              <w:left w:val="nil"/>
              <w:bottom w:val="nil"/>
              <w:right w:val="nil"/>
            </w:tcBorders>
            <w:shd w:val="clear" w:color="000000" w:fill="F2F2F2"/>
            <w:vAlign w:val="center"/>
          </w:tcPr>
          <w:p w14:paraId="2A2464F9" w14:textId="77777777" w:rsidR="00E36B09" w:rsidRPr="00947EC7" w:rsidRDefault="00E36B09" w:rsidP="00E36B09">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Reserva para hacer frente a reclamaciones de SAR</w:t>
            </w:r>
          </w:p>
        </w:tc>
        <w:tc>
          <w:tcPr>
            <w:tcW w:w="1518" w:type="dxa"/>
            <w:tcBorders>
              <w:top w:val="nil"/>
              <w:left w:val="nil"/>
              <w:bottom w:val="nil"/>
              <w:right w:val="nil"/>
            </w:tcBorders>
            <w:shd w:val="clear" w:color="000000" w:fill="F2F2F2"/>
            <w:vAlign w:val="center"/>
          </w:tcPr>
          <w:p w14:paraId="51425DDA" w14:textId="3D7F7CFE"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228,746,780.5</w:t>
            </w:r>
          </w:p>
        </w:tc>
        <w:tc>
          <w:tcPr>
            <w:tcW w:w="1471" w:type="dxa"/>
            <w:gridSpan w:val="2"/>
            <w:tcBorders>
              <w:top w:val="nil"/>
              <w:left w:val="nil"/>
              <w:bottom w:val="nil"/>
              <w:right w:val="nil"/>
            </w:tcBorders>
            <w:shd w:val="clear" w:color="000000" w:fill="F2F2F2"/>
            <w:vAlign w:val="center"/>
          </w:tcPr>
          <w:p w14:paraId="7A175347" w14:textId="7732A53B"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6BE2B7E3" w14:textId="42CCE6D5"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73B56B49" w14:textId="6F87FC92"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228,746,780.5</w:t>
            </w:r>
          </w:p>
        </w:tc>
        <w:tc>
          <w:tcPr>
            <w:tcW w:w="1437" w:type="dxa"/>
            <w:gridSpan w:val="3"/>
            <w:tcBorders>
              <w:top w:val="nil"/>
              <w:left w:val="nil"/>
              <w:bottom w:val="nil"/>
              <w:right w:val="nil"/>
            </w:tcBorders>
            <w:shd w:val="clear" w:color="000000" w:fill="F2F2F2"/>
            <w:vAlign w:val="center"/>
          </w:tcPr>
          <w:p w14:paraId="11E1B80C" w14:textId="1A5E2A4C"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r>
      <w:tr w:rsidR="00E36B09" w:rsidRPr="00FC0913" w14:paraId="0B078496" w14:textId="77777777" w:rsidTr="00515CCE">
        <w:trPr>
          <w:trHeight w:val="245"/>
          <w:jc w:val="center"/>
        </w:trPr>
        <w:tc>
          <w:tcPr>
            <w:tcW w:w="4642" w:type="dxa"/>
            <w:tcBorders>
              <w:top w:val="nil"/>
              <w:left w:val="nil"/>
              <w:bottom w:val="nil"/>
              <w:right w:val="nil"/>
            </w:tcBorders>
            <w:shd w:val="clear" w:color="000000" w:fill="F2F2F2"/>
            <w:vAlign w:val="center"/>
          </w:tcPr>
          <w:p w14:paraId="0F9B648D" w14:textId="77777777" w:rsidR="00E36B09" w:rsidRPr="00947EC7" w:rsidRDefault="00E36B09" w:rsidP="00E36B09">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Reserva Artículo 302 de la LSS</w:t>
            </w:r>
          </w:p>
        </w:tc>
        <w:tc>
          <w:tcPr>
            <w:tcW w:w="1518" w:type="dxa"/>
            <w:tcBorders>
              <w:top w:val="nil"/>
              <w:left w:val="nil"/>
              <w:bottom w:val="nil"/>
              <w:right w:val="nil"/>
            </w:tcBorders>
            <w:shd w:val="clear" w:color="000000" w:fill="F2F2F2"/>
            <w:vAlign w:val="center"/>
          </w:tcPr>
          <w:p w14:paraId="576D3C07" w14:textId="1664C492"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1.3</w:t>
            </w:r>
          </w:p>
        </w:tc>
        <w:tc>
          <w:tcPr>
            <w:tcW w:w="1471" w:type="dxa"/>
            <w:gridSpan w:val="2"/>
            <w:tcBorders>
              <w:top w:val="nil"/>
              <w:left w:val="nil"/>
              <w:bottom w:val="nil"/>
              <w:right w:val="nil"/>
            </w:tcBorders>
            <w:shd w:val="clear" w:color="000000" w:fill="F2F2F2"/>
            <w:vAlign w:val="center"/>
          </w:tcPr>
          <w:p w14:paraId="14A4CB56" w14:textId="50154F21"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11196036" w14:textId="256E132D"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158CB36A" w14:textId="2B5EE6D5"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1.3</w:t>
            </w:r>
          </w:p>
        </w:tc>
        <w:tc>
          <w:tcPr>
            <w:tcW w:w="1437" w:type="dxa"/>
            <w:gridSpan w:val="3"/>
            <w:tcBorders>
              <w:top w:val="nil"/>
              <w:left w:val="nil"/>
              <w:bottom w:val="nil"/>
              <w:right w:val="nil"/>
            </w:tcBorders>
            <w:shd w:val="clear" w:color="000000" w:fill="F2F2F2"/>
            <w:vAlign w:val="center"/>
          </w:tcPr>
          <w:p w14:paraId="51CB9B09" w14:textId="521BF43D"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r>
      <w:tr w:rsidR="00E36B09" w:rsidRPr="00FC0913" w14:paraId="49BCA81C" w14:textId="77777777" w:rsidTr="00515CCE">
        <w:trPr>
          <w:trHeight w:val="245"/>
          <w:jc w:val="center"/>
        </w:trPr>
        <w:tc>
          <w:tcPr>
            <w:tcW w:w="4642" w:type="dxa"/>
            <w:tcBorders>
              <w:top w:val="nil"/>
              <w:left w:val="nil"/>
              <w:bottom w:val="nil"/>
              <w:right w:val="nil"/>
            </w:tcBorders>
            <w:shd w:val="clear" w:color="000000" w:fill="F2F2F2"/>
            <w:vAlign w:val="center"/>
          </w:tcPr>
          <w:p w14:paraId="3A761994" w14:textId="77777777" w:rsidR="00E36B09" w:rsidRPr="00947EC7" w:rsidRDefault="00E36B09" w:rsidP="00E36B0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Fondo de Fomento a la Educación (FOFOE)</w:t>
            </w:r>
          </w:p>
        </w:tc>
        <w:tc>
          <w:tcPr>
            <w:tcW w:w="1518" w:type="dxa"/>
            <w:tcBorders>
              <w:top w:val="nil"/>
              <w:left w:val="nil"/>
              <w:bottom w:val="nil"/>
              <w:right w:val="nil"/>
            </w:tcBorders>
            <w:shd w:val="clear" w:color="000000" w:fill="F2F2F2"/>
            <w:vAlign w:val="center"/>
          </w:tcPr>
          <w:p w14:paraId="5FC00740" w14:textId="5C05B4FB"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1,508,710,219.7</w:t>
            </w:r>
          </w:p>
        </w:tc>
        <w:tc>
          <w:tcPr>
            <w:tcW w:w="1471" w:type="dxa"/>
            <w:gridSpan w:val="2"/>
            <w:tcBorders>
              <w:top w:val="nil"/>
              <w:left w:val="nil"/>
              <w:bottom w:val="nil"/>
              <w:right w:val="nil"/>
            </w:tcBorders>
            <w:shd w:val="clear" w:color="000000" w:fill="F2F2F2"/>
            <w:vAlign w:val="center"/>
          </w:tcPr>
          <w:p w14:paraId="64E2FCD6" w14:textId="4092D700"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730A8EBB" w14:textId="5D781DBD"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771298D6" w14:textId="4D2BD4F1"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1,508,710,219.7</w:t>
            </w:r>
          </w:p>
        </w:tc>
        <w:tc>
          <w:tcPr>
            <w:tcW w:w="1437" w:type="dxa"/>
            <w:gridSpan w:val="3"/>
            <w:tcBorders>
              <w:top w:val="nil"/>
              <w:left w:val="nil"/>
              <w:bottom w:val="nil"/>
              <w:right w:val="nil"/>
            </w:tcBorders>
            <w:shd w:val="clear" w:color="000000" w:fill="F2F2F2"/>
            <w:vAlign w:val="center"/>
          </w:tcPr>
          <w:p w14:paraId="1F7E4227" w14:textId="60ECEC72"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r>
      <w:tr w:rsidR="00E36B09" w:rsidRPr="00FC0913" w14:paraId="334FC792" w14:textId="77777777" w:rsidTr="00515CCE">
        <w:trPr>
          <w:trHeight w:val="245"/>
          <w:jc w:val="center"/>
        </w:trPr>
        <w:tc>
          <w:tcPr>
            <w:tcW w:w="4642" w:type="dxa"/>
            <w:tcBorders>
              <w:top w:val="nil"/>
              <w:left w:val="nil"/>
              <w:bottom w:val="nil"/>
              <w:right w:val="nil"/>
            </w:tcBorders>
            <w:shd w:val="clear" w:color="000000" w:fill="F2F2F2"/>
            <w:vAlign w:val="center"/>
          </w:tcPr>
          <w:p w14:paraId="658A211F" w14:textId="77777777" w:rsidR="00E36B09" w:rsidRPr="00947EC7" w:rsidRDefault="00E36B09" w:rsidP="00E36B0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Cláusulas 85-89 (C 85-89)</w:t>
            </w:r>
          </w:p>
        </w:tc>
        <w:tc>
          <w:tcPr>
            <w:tcW w:w="1518" w:type="dxa"/>
            <w:tcBorders>
              <w:top w:val="nil"/>
              <w:left w:val="nil"/>
              <w:bottom w:val="nil"/>
              <w:right w:val="nil"/>
            </w:tcBorders>
            <w:shd w:val="clear" w:color="000000" w:fill="F2F2F2"/>
            <w:vAlign w:val="center"/>
          </w:tcPr>
          <w:p w14:paraId="7F259220" w14:textId="00105E83"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1,013,918,212.6</w:t>
            </w:r>
          </w:p>
        </w:tc>
        <w:tc>
          <w:tcPr>
            <w:tcW w:w="1471" w:type="dxa"/>
            <w:gridSpan w:val="2"/>
            <w:tcBorders>
              <w:top w:val="nil"/>
              <w:left w:val="nil"/>
              <w:bottom w:val="nil"/>
              <w:right w:val="nil"/>
            </w:tcBorders>
            <w:shd w:val="clear" w:color="000000" w:fill="F2F2F2"/>
            <w:vAlign w:val="center"/>
          </w:tcPr>
          <w:p w14:paraId="5F63DD18" w14:textId="05FF949D"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1525CB25" w14:textId="289EFF33"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65EF13B8" w14:textId="00661259"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1,013,918,212.6</w:t>
            </w:r>
          </w:p>
        </w:tc>
        <w:tc>
          <w:tcPr>
            <w:tcW w:w="1437" w:type="dxa"/>
            <w:gridSpan w:val="3"/>
            <w:tcBorders>
              <w:top w:val="nil"/>
              <w:left w:val="nil"/>
              <w:bottom w:val="nil"/>
              <w:right w:val="nil"/>
            </w:tcBorders>
            <w:shd w:val="clear" w:color="000000" w:fill="F2F2F2"/>
            <w:vAlign w:val="center"/>
          </w:tcPr>
          <w:p w14:paraId="1FD46C69" w14:textId="6945CACE"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r>
      <w:tr w:rsidR="00E36B09" w:rsidRPr="00FC0913" w14:paraId="49C646C4" w14:textId="77777777" w:rsidTr="00515CCE">
        <w:trPr>
          <w:trHeight w:val="245"/>
          <w:jc w:val="center"/>
        </w:trPr>
        <w:tc>
          <w:tcPr>
            <w:tcW w:w="4642" w:type="dxa"/>
            <w:tcBorders>
              <w:top w:val="nil"/>
              <w:left w:val="nil"/>
              <w:bottom w:val="nil"/>
              <w:right w:val="nil"/>
            </w:tcBorders>
            <w:shd w:val="clear" w:color="000000" w:fill="F2F2F2"/>
            <w:vAlign w:val="center"/>
          </w:tcPr>
          <w:p w14:paraId="16A7F433" w14:textId="77777777" w:rsidR="00E36B09" w:rsidRPr="00947EC7" w:rsidRDefault="00E36B09" w:rsidP="00E36B0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Aportaciones Federales para el Pago de Pensiones (AFPP)</w:t>
            </w:r>
          </w:p>
        </w:tc>
        <w:tc>
          <w:tcPr>
            <w:tcW w:w="1518" w:type="dxa"/>
            <w:tcBorders>
              <w:top w:val="nil"/>
              <w:left w:val="nil"/>
              <w:bottom w:val="nil"/>
              <w:right w:val="nil"/>
            </w:tcBorders>
            <w:shd w:val="clear" w:color="000000" w:fill="F2F2F2"/>
            <w:vAlign w:val="center"/>
          </w:tcPr>
          <w:p w14:paraId="444FF8EE" w14:textId="5BE16989"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30,505,027.6</w:t>
            </w:r>
          </w:p>
        </w:tc>
        <w:tc>
          <w:tcPr>
            <w:tcW w:w="1471" w:type="dxa"/>
            <w:gridSpan w:val="2"/>
            <w:tcBorders>
              <w:top w:val="nil"/>
              <w:left w:val="nil"/>
              <w:bottom w:val="nil"/>
              <w:right w:val="nil"/>
            </w:tcBorders>
            <w:shd w:val="clear" w:color="000000" w:fill="F2F2F2"/>
            <w:vAlign w:val="center"/>
          </w:tcPr>
          <w:p w14:paraId="4B0DA956" w14:textId="513ED3ED"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66263124" w14:textId="46938FDB"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6238174E" w14:textId="4B449A97"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30,505,027.6</w:t>
            </w:r>
          </w:p>
        </w:tc>
        <w:tc>
          <w:tcPr>
            <w:tcW w:w="1437" w:type="dxa"/>
            <w:gridSpan w:val="3"/>
            <w:tcBorders>
              <w:top w:val="nil"/>
              <w:left w:val="nil"/>
              <w:bottom w:val="nil"/>
              <w:right w:val="nil"/>
            </w:tcBorders>
            <w:shd w:val="clear" w:color="000000" w:fill="F2F2F2"/>
            <w:vAlign w:val="center"/>
          </w:tcPr>
          <w:p w14:paraId="1CE2F463" w14:textId="626D5B0A"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r>
      <w:tr w:rsidR="00E36B09" w:rsidRPr="00FC0913" w14:paraId="7B6A16AE" w14:textId="77777777" w:rsidTr="00515CCE">
        <w:trPr>
          <w:trHeight w:val="245"/>
          <w:jc w:val="center"/>
        </w:trPr>
        <w:tc>
          <w:tcPr>
            <w:tcW w:w="4642" w:type="dxa"/>
            <w:tcBorders>
              <w:top w:val="nil"/>
              <w:left w:val="nil"/>
              <w:bottom w:val="nil"/>
              <w:right w:val="nil"/>
            </w:tcBorders>
            <w:shd w:val="clear" w:color="000000" w:fill="F2F2F2"/>
            <w:vAlign w:val="center"/>
          </w:tcPr>
          <w:p w14:paraId="5695AE02" w14:textId="77777777" w:rsidR="00E36B09" w:rsidRPr="00947EC7" w:rsidRDefault="00E36B09" w:rsidP="00E36B0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del Convenio entre IMSS-Bienestar con el Instituto de Salud para el Bienestar (INSABI)</w:t>
            </w:r>
          </w:p>
        </w:tc>
        <w:tc>
          <w:tcPr>
            <w:tcW w:w="1518" w:type="dxa"/>
            <w:tcBorders>
              <w:top w:val="nil"/>
              <w:left w:val="nil"/>
              <w:bottom w:val="nil"/>
              <w:right w:val="nil"/>
            </w:tcBorders>
            <w:shd w:val="clear" w:color="000000" w:fill="F2F2F2"/>
            <w:vAlign w:val="center"/>
          </w:tcPr>
          <w:p w14:paraId="474176A4" w14:textId="798B3C25"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471" w:type="dxa"/>
            <w:gridSpan w:val="2"/>
            <w:tcBorders>
              <w:top w:val="nil"/>
              <w:left w:val="nil"/>
              <w:bottom w:val="nil"/>
              <w:right w:val="nil"/>
            </w:tcBorders>
            <w:shd w:val="clear" w:color="000000" w:fill="F2F2F2"/>
            <w:vAlign w:val="center"/>
          </w:tcPr>
          <w:p w14:paraId="35714B58" w14:textId="2BC98D3B"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566439AC" w14:textId="06E5C72A"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5E0558FE" w14:textId="49768A36"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437" w:type="dxa"/>
            <w:gridSpan w:val="3"/>
            <w:tcBorders>
              <w:top w:val="nil"/>
              <w:left w:val="nil"/>
              <w:bottom w:val="nil"/>
              <w:right w:val="nil"/>
            </w:tcBorders>
            <w:shd w:val="clear" w:color="000000" w:fill="F2F2F2"/>
            <w:vAlign w:val="center"/>
          </w:tcPr>
          <w:p w14:paraId="0E33FC7E" w14:textId="357A00EB"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r>
      <w:tr w:rsidR="00E36B09" w:rsidRPr="00FC0913" w14:paraId="0AABAC69" w14:textId="77777777" w:rsidTr="00515CCE">
        <w:trPr>
          <w:trHeight w:val="245"/>
          <w:jc w:val="center"/>
        </w:trPr>
        <w:tc>
          <w:tcPr>
            <w:tcW w:w="4642" w:type="dxa"/>
            <w:tcBorders>
              <w:top w:val="nil"/>
              <w:left w:val="nil"/>
              <w:bottom w:val="nil"/>
              <w:right w:val="nil"/>
            </w:tcBorders>
            <w:shd w:val="clear" w:color="000000" w:fill="F2F2F2"/>
            <w:vAlign w:val="center"/>
          </w:tcPr>
          <w:p w14:paraId="2FF51828" w14:textId="77777777" w:rsidR="00E36B09" w:rsidRPr="00947EC7" w:rsidRDefault="00E36B09" w:rsidP="00E36B09">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para ampliar la cobertura de IMSS-Bienestar (BIENESTAR)</w:t>
            </w:r>
          </w:p>
        </w:tc>
        <w:tc>
          <w:tcPr>
            <w:tcW w:w="1518" w:type="dxa"/>
            <w:tcBorders>
              <w:top w:val="nil"/>
              <w:left w:val="nil"/>
              <w:bottom w:val="nil"/>
              <w:right w:val="nil"/>
            </w:tcBorders>
            <w:shd w:val="clear" w:color="000000" w:fill="F2F2F2"/>
            <w:vAlign w:val="center"/>
          </w:tcPr>
          <w:p w14:paraId="68AC959D" w14:textId="2B8DA54B"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1.2</w:t>
            </w:r>
          </w:p>
        </w:tc>
        <w:tc>
          <w:tcPr>
            <w:tcW w:w="1471" w:type="dxa"/>
            <w:gridSpan w:val="2"/>
            <w:tcBorders>
              <w:top w:val="nil"/>
              <w:left w:val="nil"/>
              <w:bottom w:val="nil"/>
              <w:right w:val="nil"/>
            </w:tcBorders>
            <w:shd w:val="clear" w:color="000000" w:fill="F2F2F2"/>
            <w:vAlign w:val="center"/>
          </w:tcPr>
          <w:p w14:paraId="3FF49522" w14:textId="63176A22"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2509FED0" w14:textId="48C73AD9"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0B8133A7" w14:textId="39D0E5C2"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1.2</w:t>
            </w:r>
          </w:p>
        </w:tc>
        <w:tc>
          <w:tcPr>
            <w:tcW w:w="1437" w:type="dxa"/>
            <w:gridSpan w:val="3"/>
            <w:tcBorders>
              <w:top w:val="nil"/>
              <w:left w:val="nil"/>
              <w:bottom w:val="nil"/>
              <w:right w:val="nil"/>
            </w:tcBorders>
            <w:shd w:val="clear" w:color="000000" w:fill="F2F2F2"/>
            <w:vAlign w:val="center"/>
          </w:tcPr>
          <w:p w14:paraId="76A74915" w14:textId="281224E6" w:rsidR="00E36B09" w:rsidRPr="00E91CFF" w:rsidRDefault="00E36B09" w:rsidP="00E36B09">
            <w:pPr>
              <w:spacing w:after="0" w:line="240" w:lineRule="auto"/>
              <w:jc w:val="right"/>
              <w:rPr>
                <w:rFonts w:ascii="Noto Sans" w:eastAsia="Times New Roman" w:hAnsi="Noto Sans" w:cs="Noto Sans"/>
                <w:color w:val="000000"/>
                <w:sz w:val="15"/>
                <w:szCs w:val="15"/>
                <w:lang w:val="es-ES" w:eastAsia="es-MX"/>
              </w:rPr>
            </w:pPr>
            <w:r>
              <w:rPr>
                <w:rFonts w:ascii="Noto Sans" w:hAnsi="Noto Sans" w:cs="Noto Sans"/>
                <w:color w:val="000000"/>
                <w:sz w:val="15"/>
                <w:szCs w:val="15"/>
              </w:rPr>
              <w:t>0.0</w:t>
            </w:r>
          </w:p>
        </w:tc>
      </w:tr>
      <w:tr w:rsidR="00FD31EF" w:rsidRPr="00FC0913" w14:paraId="1C3CCD0F" w14:textId="77777777" w:rsidTr="00515CCE">
        <w:trPr>
          <w:trHeight w:val="245"/>
          <w:jc w:val="center"/>
        </w:trPr>
        <w:tc>
          <w:tcPr>
            <w:tcW w:w="4642" w:type="dxa"/>
            <w:tcBorders>
              <w:top w:val="nil"/>
              <w:left w:val="nil"/>
              <w:bottom w:val="nil"/>
              <w:right w:val="nil"/>
            </w:tcBorders>
            <w:shd w:val="clear" w:color="000000" w:fill="F2F2F2"/>
            <w:vAlign w:val="center"/>
          </w:tcPr>
          <w:p w14:paraId="401A7546" w14:textId="0AB276B6" w:rsidR="00FD31EF" w:rsidRPr="00947EC7" w:rsidRDefault="00FD31EF" w:rsidP="00E36B09">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 xml:space="preserve">Recursos </w:t>
            </w:r>
            <w:r>
              <w:rPr>
                <w:rFonts w:ascii="Noto Sans" w:eastAsia="Times New Roman" w:hAnsi="Noto Sans" w:cs="Noto Sans"/>
                <w:color w:val="000000"/>
                <w:sz w:val="15"/>
                <w:szCs w:val="15"/>
                <w:lang w:eastAsia="es-MX"/>
              </w:rPr>
              <w:t>Convenio Pasta de Conchos (PCONCHOS)</w:t>
            </w:r>
          </w:p>
        </w:tc>
        <w:tc>
          <w:tcPr>
            <w:tcW w:w="1518" w:type="dxa"/>
            <w:tcBorders>
              <w:top w:val="nil"/>
              <w:left w:val="nil"/>
              <w:bottom w:val="nil"/>
              <w:right w:val="nil"/>
            </w:tcBorders>
            <w:shd w:val="clear" w:color="000000" w:fill="F2F2F2"/>
            <w:vAlign w:val="center"/>
          </w:tcPr>
          <w:p w14:paraId="5211D652" w14:textId="244B045B" w:rsidR="00FD31EF" w:rsidRDefault="00C758F0" w:rsidP="00E36B09">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1,780.0</w:t>
            </w:r>
          </w:p>
        </w:tc>
        <w:tc>
          <w:tcPr>
            <w:tcW w:w="1471" w:type="dxa"/>
            <w:gridSpan w:val="2"/>
            <w:tcBorders>
              <w:top w:val="nil"/>
              <w:left w:val="nil"/>
              <w:bottom w:val="nil"/>
              <w:right w:val="nil"/>
            </w:tcBorders>
            <w:shd w:val="clear" w:color="000000" w:fill="F2F2F2"/>
            <w:vAlign w:val="center"/>
          </w:tcPr>
          <w:p w14:paraId="1157E41B" w14:textId="29967154" w:rsidR="00FD31EF" w:rsidRDefault="00C758F0" w:rsidP="00E36B09">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625" w:type="dxa"/>
            <w:gridSpan w:val="2"/>
            <w:tcBorders>
              <w:top w:val="nil"/>
              <w:left w:val="nil"/>
              <w:bottom w:val="nil"/>
              <w:right w:val="nil"/>
            </w:tcBorders>
            <w:shd w:val="clear" w:color="000000" w:fill="F2F2F2"/>
            <w:vAlign w:val="center"/>
          </w:tcPr>
          <w:p w14:paraId="73D68AE4" w14:textId="502CC32B" w:rsidR="00FD31EF" w:rsidRDefault="00C758F0" w:rsidP="00E36B09">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605" w:type="dxa"/>
            <w:gridSpan w:val="2"/>
            <w:tcBorders>
              <w:top w:val="nil"/>
              <w:left w:val="nil"/>
              <w:bottom w:val="nil"/>
              <w:right w:val="nil"/>
            </w:tcBorders>
            <w:shd w:val="clear" w:color="000000" w:fill="F2F2F2"/>
            <w:vAlign w:val="center"/>
          </w:tcPr>
          <w:p w14:paraId="089B37AE" w14:textId="2EEF1024" w:rsidR="00FD31EF" w:rsidRDefault="00C758F0" w:rsidP="00E36B09">
            <w:pPr>
              <w:spacing w:after="0" w:line="240" w:lineRule="auto"/>
              <w:jc w:val="right"/>
              <w:rPr>
                <w:rFonts w:ascii="Noto Sans" w:hAnsi="Noto Sans" w:cs="Noto Sans"/>
                <w:color w:val="000000"/>
                <w:sz w:val="15"/>
                <w:szCs w:val="15"/>
              </w:rPr>
            </w:pPr>
            <w:r w:rsidRPr="00C758F0">
              <w:rPr>
                <w:rFonts w:ascii="Noto Sans" w:hAnsi="Noto Sans" w:cs="Noto Sans"/>
                <w:color w:val="000000"/>
                <w:sz w:val="15"/>
                <w:szCs w:val="15"/>
              </w:rPr>
              <w:t>1,780.0</w:t>
            </w:r>
          </w:p>
        </w:tc>
        <w:tc>
          <w:tcPr>
            <w:tcW w:w="1437" w:type="dxa"/>
            <w:gridSpan w:val="3"/>
            <w:tcBorders>
              <w:top w:val="nil"/>
              <w:left w:val="nil"/>
              <w:bottom w:val="nil"/>
              <w:right w:val="nil"/>
            </w:tcBorders>
            <w:shd w:val="clear" w:color="000000" w:fill="F2F2F2"/>
            <w:vAlign w:val="center"/>
          </w:tcPr>
          <w:p w14:paraId="45B3C296" w14:textId="2DF4F19A" w:rsidR="00FD31EF" w:rsidRDefault="00C758F0" w:rsidP="00E36B09">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r>
      <w:tr w:rsidR="00E91CFF" w:rsidRPr="00FC0913" w14:paraId="70C7CA00" w14:textId="77777777" w:rsidTr="00515CCE">
        <w:trPr>
          <w:trHeight w:val="245"/>
          <w:jc w:val="center"/>
        </w:trPr>
        <w:tc>
          <w:tcPr>
            <w:tcW w:w="4642" w:type="dxa"/>
            <w:tcBorders>
              <w:top w:val="nil"/>
              <w:left w:val="nil"/>
              <w:bottom w:val="nil"/>
              <w:right w:val="nil"/>
            </w:tcBorders>
            <w:shd w:val="clear" w:color="000000" w:fill="F2F2F2"/>
            <w:vAlign w:val="center"/>
          </w:tcPr>
          <w:p w14:paraId="7701DC55" w14:textId="77777777" w:rsidR="00E91CFF" w:rsidRPr="00947EC7" w:rsidRDefault="00E91CFF" w:rsidP="00E35210">
            <w:pPr>
              <w:spacing w:after="0" w:line="240" w:lineRule="auto"/>
              <w:jc w:val="both"/>
              <w:rPr>
                <w:rFonts w:ascii="Noto Sans" w:eastAsia="Times New Roman" w:hAnsi="Noto Sans" w:cs="Noto Sans"/>
                <w:b/>
                <w:bCs/>
                <w:color w:val="000000"/>
                <w:sz w:val="15"/>
                <w:szCs w:val="15"/>
                <w:lang w:val="es-ES"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Recursos administrados a cuenta de Terceros</w:t>
            </w:r>
          </w:p>
        </w:tc>
        <w:tc>
          <w:tcPr>
            <w:tcW w:w="1518" w:type="dxa"/>
            <w:tcBorders>
              <w:top w:val="nil"/>
              <w:left w:val="nil"/>
              <w:bottom w:val="nil"/>
              <w:right w:val="nil"/>
            </w:tcBorders>
            <w:shd w:val="clear" w:color="000000" w:fill="F2F2F2"/>
            <w:vAlign w:val="center"/>
          </w:tcPr>
          <w:p w14:paraId="1D6E9ED2" w14:textId="6F825A1C" w:rsidR="00E91CFF" w:rsidRPr="00E91CFF" w:rsidRDefault="00B04414"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2,781,882,022.9</w:t>
            </w:r>
            <w:r w:rsidR="00E91CFF" w:rsidRPr="00E91CFF">
              <w:rPr>
                <w:rFonts w:ascii="Noto Sans" w:hAnsi="Noto Sans" w:cs="Noto Sans"/>
                <w:b/>
                <w:bCs/>
                <w:color w:val="000000"/>
                <w:sz w:val="15"/>
                <w:szCs w:val="15"/>
              </w:rPr>
              <w:t xml:space="preserve"> </w:t>
            </w:r>
          </w:p>
        </w:tc>
        <w:tc>
          <w:tcPr>
            <w:tcW w:w="1471" w:type="dxa"/>
            <w:gridSpan w:val="2"/>
            <w:tcBorders>
              <w:top w:val="nil"/>
              <w:left w:val="nil"/>
              <w:bottom w:val="nil"/>
              <w:right w:val="nil"/>
            </w:tcBorders>
            <w:shd w:val="clear" w:color="000000" w:fill="F2F2F2"/>
            <w:vAlign w:val="center"/>
          </w:tcPr>
          <w:p w14:paraId="37CF8E2B" w14:textId="7146387E"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0.0</w:t>
            </w:r>
          </w:p>
        </w:tc>
        <w:tc>
          <w:tcPr>
            <w:tcW w:w="1625" w:type="dxa"/>
            <w:gridSpan w:val="2"/>
            <w:tcBorders>
              <w:top w:val="nil"/>
              <w:left w:val="nil"/>
              <w:bottom w:val="nil"/>
              <w:right w:val="nil"/>
            </w:tcBorders>
            <w:shd w:val="clear" w:color="000000" w:fill="F2F2F2"/>
            <w:vAlign w:val="center"/>
          </w:tcPr>
          <w:p w14:paraId="308DE415" w14:textId="3E68176F"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0.0</w:t>
            </w:r>
          </w:p>
        </w:tc>
        <w:tc>
          <w:tcPr>
            <w:tcW w:w="1605" w:type="dxa"/>
            <w:gridSpan w:val="2"/>
            <w:tcBorders>
              <w:top w:val="nil"/>
              <w:left w:val="nil"/>
              <w:bottom w:val="nil"/>
              <w:right w:val="nil"/>
            </w:tcBorders>
            <w:shd w:val="clear" w:color="000000" w:fill="F2F2F2"/>
            <w:vAlign w:val="center"/>
          </w:tcPr>
          <w:p w14:paraId="4E73D903" w14:textId="3B36A13C" w:rsidR="00E91CFF" w:rsidRPr="00E91CFF" w:rsidRDefault="003152C5"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2,781,882,022.9</w:t>
            </w:r>
          </w:p>
        </w:tc>
        <w:tc>
          <w:tcPr>
            <w:tcW w:w="1437" w:type="dxa"/>
            <w:gridSpan w:val="3"/>
            <w:tcBorders>
              <w:top w:val="nil"/>
              <w:left w:val="nil"/>
              <w:bottom w:val="nil"/>
              <w:right w:val="nil"/>
            </w:tcBorders>
            <w:shd w:val="clear" w:color="000000" w:fill="F2F2F2"/>
            <w:vAlign w:val="center"/>
          </w:tcPr>
          <w:p w14:paraId="4D592AB2" w14:textId="1A4D4835"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0.0</w:t>
            </w:r>
          </w:p>
        </w:tc>
      </w:tr>
      <w:tr w:rsidR="00E91CFF" w:rsidRPr="005946C5" w14:paraId="18B97744" w14:textId="77777777" w:rsidTr="00515CCE">
        <w:trPr>
          <w:trHeight w:val="245"/>
          <w:jc w:val="center"/>
        </w:trPr>
        <w:tc>
          <w:tcPr>
            <w:tcW w:w="4642" w:type="dxa"/>
            <w:tcBorders>
              <w:top w:val="nil"/>
              <w:left w:val="nil"/>
              <w:bottom w:val="single" w:sz="12" w:space="0" w:color="A6802D"/>
              <w:right w:val="nil"/>
            </w:tcBorders>
            <w:shd w:val="clear" w:color="000000" w:fill="F2F2F2"/>
            <w:vAlign w:val="center"/>
          </w:tcPr>
          <w:p w14:paraId="3B9D4BF3" w14:textId="77777777" w:rsidR="00E91CFF" w:rsidRPr="00947EC7" w:rsidRDefault="00E91CFF" w:rsidP="00E35210">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Inversiones Financieras</w:t>
            </w:r>
          </w:p>
        </w:tc>
        <w:tc>
          <w:tcPr>
            <w:tcW w:w="1518" w:type="dxa"/>
            <w:tcBorders>
              <w:top w:val="nil"/>
              <w:left w:val="nil"/>
              <w:bottom w:val="single" w:sz="12" w:space="0" w:color="A6802D"/>
              <w:right w:val="nil"/>
            </w:tcBorders>
            <w:shd w:val="clear" w:color="000000" w:fill="F2F2F2"/>
            <w:vAlign w:val="center"/>
          </w:tcPr>
          <w:p w14:paraId="1C777D20" w14:textId="165DD611" w:rsidR="00E91CFF" w:rsidRPr="00E91CFF" w:rsidRDefault="00482149"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139,093,236,67</w:t>
            </w:r>
            <w:r w:rsidR="00C758F0">
              <w:rPr>
                <w:rFonts w:ascii="Noto Sans" w:hAnsi="Noto Sans" w:cs="Noto Sans"/>
                <w:b/>
                <w:bCs/>
                <w:color w:val="000000"/>
                <w:sz w:val="15"/>
                <w:szCs w:val="15"/>
              </w:rPr>
              <w:t>6</w:t>
            </w:r>
            <w:r>
              <w:rPr>
                <w:rFonts w:ascii="Noto Sans" w:hAnsi="Noto Sans" w:cs="Noto Sans"/>
                <w:b/>
                <w:bCs/>
                <w:color w:val="000000"/>
                <w:sz w:val="15"/>
                <w:szCs w:val="15"/>
              </w:rPr>
              <w:t>.</w:t>
            </w:r>
            <w:r w:rsidR="00991FFB">
              <w:rPr>
                <w:rFonts w:ascii="Noto Sans" w:hAnsi="Noto Sans" w:cs="Noto Sans"/>
                <w:b/>
                <w:bCs/>
                <w:color w:val="000000"/>
                <w:sz w:val="15"/>
                <w:szCs w:val="15"/>
              </w:rPr>
              <w:t>9</w:t>
            </w:r>
            <w:r w:rsidR="00E91CFF" w:rsidRPr="00E91CFF">
              <w:rPr>
                <w:rFonts w:ascii="Noto Sans" w:hAnsi="Noto Sans" w:cs="Noto Sans"/>
                <w:b/>
                <w:bCs/>
                <w:color w:val="000000"/>
                <w:sz w:val="15"/>
                <w:szCs w:val="15"/>
              </w:rPr>
              <w:t xml:space="preserve"> </w:t>
            </w:r>
          </w:p>
        </w:tc>
        <w:tc>
          <w:tcPr>
            <w:tcW w:w="1471" w:type="dxa"/>
            <w:gridSpan w:val="2"/>
            <w:tcBorders>
              <w:top w:val="nil"/>
              <w:left w:val="nil"/>
              <w:bottom w:val="single" w:sz="12" w:space="0" w:color="A6802D"/>
              <w:right w:val="nil"/>
            </w:tcBorders>
            <w:shd w:val="clear" w:color="000000" w:fill="F2F2F2"/>
            <w:vAlign w:val="center"/>
          </w:tcPr>
          <w:p w14:paraId="2F07F1EB" w14:textId="32954E46" w:rsidR="00E91CFF" w:rsidRPr="00E91CFF" w:rsidRDefault="00482149"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85,047,324,099.</w:t>
            </w:r>
            <w:r w:rsidR="00991FFB">
              <w:rPr>
                <w:rFonts w:ascii="Noto Sans" w:hAnsi="Noto Sans" w:cs="Noto Sans"/>
                <w:b/>
                <w:bCs/>
                <w:color w:val="000000"/>
                <w:sz w:val="15"/>
                <w:szCs w:val="15"/>
              </w:rPr>
              <w:t>3</w:t>
            </w:r>
          </w:p>
        </w:tc>
        <w:tc>
          <w:tcPr>
            <w:tcW w:w="1625" w:type="dxa"/>
            <w:gridSpan w:val="2"/>
            <w:tcBorders>
              <w:top w:val="nil"/>
              <w:left w:val="nil"/>
              <w:bottom w:val="single" w:sz="12" w:space="0" w:color="A6802D"/>
              <w:right w:val="nil"/>
            </w:tcBorders>
            <w:shd w:val="clear" w:color="000000" w:fill="F2F2F2"/>
            <w:vAlign w:val="center"/>
          </w:tcPr>
          <w:p w14:paraId="5ED88E2D" w14:textId="45BCB43B" w:rsidR="00E91CFF" w:rsidRPr="00E91CFF" w:rsidRDefault="00E91CFF" w:rsidP="00E35210">
            <w:pPr>
              <w:spacing w:after="0" w:line="240" w:lineRule="auto"/>
              <w:jc w:val="right"/>
              <w:rPr>
                <w:rFonts w:ascii="Noto Sans" w:eastAsia="Times New Roman" w:hAnsi="Noto Sans" w:cs="Noto Sans"/>
                <w:b/>
                <w:bCs/>
                <w:color w:val="000000"/>
                <w:sz w:val="15"/>
                <w:szCs w:val="15"/>
                <w:lang w:val="es-ES" w:eastAsia="es-MX"/>
              </w:rPr>
            </w:pPr>
            <w:r w:rsidRPr="00E91CFF">
              <w:rPr>
                <w:rFonts w:ascii="Noto Sans" w:hAnsi="Noto Sans" w:cs="Noto Sans"/>
                <w:b/>
                <w:bCs/>
                <w:color w:val="000000"/>
                <w:sz w:val="15"/>
                <w:szCs w:val="15"/>
              </w:rPr>
              <w:t xml:space="preserve">    </w:t>
            </w:r>
            <w:r w:rsidR="00482149">
              <w:rPr>
                <w:rFonts w:ascii="Noto Sans" w:hAnsi="Noto Sans" w:cs="Noto Sans"/>
                <w:b/>
                <w:bCs/>
                <w:color w:val="000000"/>
                <w:sz w:val="15"/>
                <w:szCs w:val="15"/>
              </w:rPr>
              <w:t>379,500,187,027.4</w:t>
            </w:r>
            <w:r w:rsidRPr="00E91CFF">
              <w:rPr>
                <w:rFonts w:ascii="Noto Sans" w:hAnsi="Noto Sans" w:cs="Noto Sans"/>
                <w:b/>
                <w:bCs/>
                <w:color w:val="000000"/>
                <w:sz w:val="15"/>
                <w:szCs w:val="15"/>
              </w:rPr>
              <w:t xml:space="preserve"> </w:t>
            </w:r>
          </w:p>
        </w:tc>
        <w:tc>
          <w:tcPr>
            <w:tcW w:w="1605" w:type="dxa"/>
            <w:gridSpan w:val="2"/>
            <w:tcBorders>
              <w:top w:val="nil"/>
              <w:left w:val="nil"/>
              <w:bottom w:val="single" w:sz="12" w:space="0" w:color="A6802D"/>
              <w:right w:val="nil"/>
            </w:tcBorders>
            <w:shd w:val="clear" w:color="000000" w:fill="F2F2F2"/>
            <w:vAlign w:val="center"/>
          </w:tcPr>
          <w:p w14:paraId="34D32AF7" w14:textId="52561060" w:rsidR="00E91CFF" w:rsidRPr="00E91CFF" w:rsidRDefault="00482149"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603,640,747,803.6</w:t>
            </w:r>
            <w:r w:rsidR="00E91CFF" w:rsidRPr="00E91CFF">
              <w:rPr>
                <w:rFonts w:ascii="Noto Sans" w:hAnsi="Noto Sans" w:cs="Noto Sans"/>
                <w:b/>
                <w:bCs/>
                <w:color w:val="000000"/>
                <w:sz w:val="15"/>
                <w:szCs w:val="15"/>
              </w:rPr>
              <w:t xml:space="preserve"> </w:t>
            </w:r>
          </w:p>
        </w:tc>
        <w:tc>
          <w:tcPr>
            <w:tcW w:w="1437" w:type="dxa"/>
            <w:gridSpan w:val="3"/>
            <w:tcBorders>
              <w:top w:val="nil"/>
              <w:left w:val="nil"/>
              <w:bottom w:val="single" w:sz="12" w:space="0" w:color="A6802D"/>
              <w:right w:val="nil"/>
            </w:tcBorders>
            <w:shd w:val="clear" w:color="000000" w:fill="F2F2F2"/>
            <w:vAlign w:val="center"/>
          </w:tcPr>
          <w:p w14:paraId="24241EAC" w14:textId="37618B1B" w:rsidR="00E91CFF" w:rsidRPr="00E91CFF" w:rsidRDefault="00482149" w:rsidP="00E35210">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500,034,933,524.4</w:t>
            </w:r>
            <w:r w:rsidR="00E91CFF" w:rsidRPr="00E91CFF">
              <w:rPr>
                <w:rFonts w:ascii="Noto Sans" w:hAnsi="Noto Sans" w:cs="Noto Sans"/>
                <w:b/>
                <w:bCs/>
                <w:color w:val="000000"/>
                <w:sz w:val="15"/>
                <w:szCs w:val="15"/>
              </w:rPr>
              <w:t xml:space="preserve"> </w:t>
            </w:r>
          </w:p>
        </w:tc>
      </w:tr>
      <w:tr w:rsidR="0005076C" w:rsidRPr="00274555" w14:paraId="2A1F199E" w14:textId="77777777" w:rsidTr="00515CCE">
        <w:trPr>
          <w:gridAfter w:val="1"/>
          <w:wAfter w:w="22" w:type="dxa"/>
          <w:trHeight w:val="196"/>
          <w:jc w:val="center"/>
        </w:trPr>
        <w:tc>
          <w:tcPr>
            <w:tcW w:w="4642" w:type="dxa"/>
            <w:tcBorders>
              <w:top w:val="single" w:sz="12" w:space="0" w:color="A6802D"/>
              <w:left w:val="nil"/>
              <w:right w:val="nil"/>
            </w:tcBorders>
            <w:vAlign w:val="center"/>
          </w:tcPr>
          <w:p w14:paraId="1E2129D2" w14:textId="77777777" w:rsidR="0005076C" w:rsidRPr="00274555" w:rsidRDefault="0005076C" w:rsidP="00E3521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76" w:type="dxa"/>
            <w:gridSpan w:val="2"/>
            <w:tcBorders>
              <w:top w:val="single" w:sz="12" w:space="0" w:color="A6802D"/>
              <w:left w:val="nil"/>
              <w:right w:val="nil"/>
            </w:tcBorders>
            <w:vAlign w:val="center"/>
          </w:tcPr>
          <w:p w14:paraId="794E2704" w14:textId="77777777" w:rsidR="0005076C" w:rsidRPr="00274555" w:rsidRDefault="0005076C" w:rsidP="00E35210">
            <w:pPr>
              <w:spacing w:after="0" w:line="240" w:lineRule="auto"/>
              <w:jc w:val="both"/>
              <w:rPr>
                <w:rFonts w:ascii="Noto Sans" w:eastAsia="Times New Roman" w:hAnsi="Noto Sans" w:cs="Noto Sans"/>
                <w:b/>
                <w:bCs/>
                <w:color w:val="000000"/>
                <w:sz w:val="14"/>
                <w:szCs w:val="14"/>
                <w:lang w:eastAsia="es-MX"/>
              </w:rPr>
            </w:pPr>
          </w:p>
        </w:tc>
        <w:tc>
          <w:tcPr>
            <w:tcW w:w="2036" w:type="dxa"/>
            <w:gridSpan w:val="2"/>
            <w:tcBorders>
              <w:top w:val="single" w:sz="12" w:space="0" w:color="A6802D"/>
              <w:left w:val="nil"/>
              <w:right w:val="nil"/>
            </w:tcBorders>
            <w:vAlign w:val="center"/>
          </w:tcPr>
          <w:p w14:paraId="463BBA77" w14:textId="77777777" w:rsidR="0005076C" w:rsidRPr="00274555" w:rsidRDefault="0005076C" w:rsidP="00E35210">
            <w:pPr>
              <w:spacing w:after="0" w:line="240" w:lineRule="auto"/>
              <w:jc w:val="both"/>
              <w:rPr>
                <w:rFonts w:ascii="Noto Sans" w:eastAsia="Times New Roman" w:hAnsi="Noto Sans" w:cs="Noto Sans"/>
                <w:b/>
                <w:bCs/>
                <w:color w:val="000000"/>
                <w:sz w:val="14"/>
                <w:szCs w:val="14"/>
                <w:lang w:eastAsia="es-MX"/>
              </w:rPr>
            </w:pPr>
          </w:p>
        </w:tc>
        <w:tc>
          <w:tcPr>
            <w:tcW w:w="1806" w:type="dxa"/>
            <w:gridSpan w:val="2"/>
            <w:tcBorders>
              <w:top w:val="single" w:sz="12" w:space="0" w:color="A6802D"/>
              <w:left w:val="nil"/>
              <w:right w:val="nil"/>
            </w:tcBorders>
            <w:vAlign w:val="center"/>
          </w:tcPr>
          <w:p w14:paraId="7C6D445D" w14:textId="77777777" w:rsidR="0005076C" w:rsidRPr="00274555" w:rsidRDefault="0005076C" w:rsidP="00E35210">
            <w:pPr>
              <w:spacing w:after="0" w:line="240" w:lineRule="auto"/>
              <w:jc w:val="center"/>
              <w:rPr>
                <w:rFonts w:ascii="Noto Sans" w:eastAsia="Times New Roman" w:hAnsi="Noto Sans" w:cs="Noto Sans"/>
                <w:b/>
                <w:bCs/>
                <w:color w:val="000000"/>
                <w:sz w:val="14"/>
                <w:szCs w:val="14"/>
                <w:lang w:eastAsia="es-MX"/>
              </w:rPr>
            </w:pPr>
          </w:p>
        </w:tc>
        <w:tc>
          <w:tcPr>
            <w:tcW w:w="1650" w:type="dxa"/>
            <w:gridSpan w:val="2"/>
            <w:tcBorders>
              <w:top w:val="single" w:sz="12" w:space="0" w:color="A6802D"/>
              <w:left w:val="nil"/>
              <w:right w:val="nil"/>
            </w:tcBorders>
            <w:vAlign w:val="center"/>
          </w:tcPr>
          <w:p w14:paraId="06E49B86" w14:textId="77777777" w:rsidR="0005076C" w:rsidRPr="00274555" w:rsidRDefault="0005076C" w:rsidP="00E35210">
            <w:pPr>
              <w:spacing w:after="0" w:line="240" w:lineRule="auto"/>
              <w:jc w:val="center"/>
              <w:rPr>
                <w:rFonts w:ascii="Noto Sans" w:eastAsia="Times New Roman" w:hAnsi="Noto Sans" w:cs="Noto Sans"/>
                <w:b/>
                <w:bCs/>
                <w:color w:val="000000"/>
                <w:sz w:val="14"/>
                <w:szCs w:val="14"/>
                <w:lang w:eastAsia="es-MX"/>
              </w:rPr>
            </w:pPr>
          </w:p>
        </w:tc>
        <w:tc>
          <w:tcPr>
            <w:tcW w:w="166" w:type="dxa"/>
            <w:tcBorders>
              <w:top w:val="single" w:sz="12" w:space="0" w:color="A6802D"/>
              <w:left w:val="nil"/>
              <w:right w:val="nil"/>
            </w:tcBorders>
            <w:vAlign w:val="center"/>
          </w:tcPr>
          <w:p w14:paraId="0B2F2159" w14:textId="77777777" w:rsidR="0005076C" w:rsidRPr="00274555" w:rsidRDefault="0005076C" w:rsidP="00E35210">
            <w:pPr>
              <w:spacing w:after="0" w:line="240" w:lineRule="auto"/>
              <w:jc w:val="center"/>
              <w:rPr>
                <w:rFonts w:ascii="Noto Sans" w:eastAsia="Times New Roman" w:hAnsi="Noto Sans" w:cs="Noto Sans"/>
                <w:b/>
                <w:bCs/>
                <w:color w:val="000000"/>
                <w:sz w:val="14"/>
                <w:szCs w:val="14"/>
                <w:lang w:eastAsia="es-MX"/>
              </w:rPr>
            </w:pPr>
          </w:p>
        </w:tc>
      </w:tr>
      <w:bookmarkEnd w:id="4"/>
    </w:tbl>
    <w:p w14:paraId="5F885919" w14:textId="77777777" w:rsidR="00DF233A" w:rsidRDefault="00DF233A" w:rsidP="00B16D1A">
      <w:pPr>
        <w:pStyle w:val="TEXTONORMAL"/>
        <w:ind w:left="720"/>
      </w:pPr>
    </w:p>
    <w:p w14:paraId="4D0A8EC5" w14:textId="77777777" w:rsidR="00625C16" w:rsidRPr="00DF233A" w:rsidRDefault="00625C16" w:rsidP="00B16D1A">
      <w:pPr>
        <w:pStyle w:val="TEXTONORMAL"/>
        <w:ind w:left="720"/>
      </w:pPr>
    </w:p>
    <w:tbl>
      <w:tblPr>
        <w:tblW w:w="0" w:type="auto"/>
        <w:jc w:val="center"/>
        <w:tblCellMar>
          <w:left w:w="70" w:type="dxa"/>
          <w:right w:w="70" w:type="dxa"/>
        </w:tblCellMar>
        <w:tblLook w:val="0480" w:firstRow="0" w:lastRow="0" w:firstColumn="1" w:lastColumn="0" w:noHBand="0" w:noVBand="1"/>
      </w:tblPr>
      <w:tblGrid>
        <w:gridCol w:w="4620"/>
        <w:gridCol w:w="1427"/>
        <w:gridCol w:w="440"/>
        <w:gridCol w:w="987"/>
        <w:gridCol w:w="908"/>
        <w:gridCol w:w="543"/>
        <w:gridCol w:w="1062"/>
        <w:gridCol w:w="365"/>
        <w:gridCol w:w="1243"/>
        <w:gridCol w:w="163"/>
        <w:gridCol w:w="21"/>
      </w:tblGrid>
      <w:tr w:rsidR="00B16D1A" w:rsidRPr="005946C5" w14:paraId="0DAAB43A" w14:textId="77777777" w:rsidTr="00947EC7">
        <w:trPr>
          <w:gridAfter w:val="1"/>
          <w:wAfter w:w="21" w:type="dxa"/>
          <w:trHeight w:val="83"/>
          <w:jc w:val="center"/>
        </w:trPr>
        <w:tc>
          <w:tcPr>
            <w:tcW w:w="4620" w:type="dxa"/>
            <w:vMerge w:val="restart"/>
            <w:tcBorders>
              <w:top w:val="double" w:sz="12" w:space="0" w:color="A6802D"/>
              <w:left w:val="nil"/>
              <w:right w:val="single" w:sz="12" w:space="0" w:color="FFFFFF"/>
            </w:tcBorders>
            <w:shd w:val="clear" w:color="auto" w:fill="A6802D"/>
            <w:vAlign w:val="center"/>
            <w:hideMark/>
          </w:tcPr>
          <w:p w14:paraId="0CCEF98A"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lastRenderedPageBreak/>
              <w:t>Concepto</w:t>
            </w:r>
          </w:p>
        </w:tc>
        <w:tc>
          <w:tcPr>
            <w:tcW w:w="7138" w:type="dxa"/>
            <w:gridSpan w:val="9"/>
            <w:tcBorders>
              <w:top w:val="double" w:sz="12" w:space="0" w:color="A6802D"/>
              <w:left w:val="nil"/>
              <w:bottom w:val="single" w:sz="12" w:space="0" w:color="FFFFFF"/>
            </w:tcBorders>
            <w:shd w:val="clear" w:color="auto" w:fill="A6802D"/>
            <w:vAlign w:val="center"/>
            <w:hideMark/>
          </w:tcPr>
          <w:p w14:paraId="7B47D45B"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B16D1A" w:rsidRPr="005946C5" w14:paraId="27FA0AFD" w14:textId="77777777" w:rsidTr="00947EC7">
        <w:trPr>
          <w:gridAfter w:val="1"/>
          <w:wAfter w:w="21" w:type="dxa"/>
          <w:trHeight w:val="28"/>
          <w:jc w:val="center"/>
        </w:trPr>
        <w:tc>
          <w:tcPr>
            <w:tcW w:w="4620" w:type="dxa"/>
            <w:vMerge/>
            <w:tcBorders>
              <w:left w:val="nil"/>
              <w:right w:val="single" w:sz="12" w:space="0" w:color="FFFFFF"/>
            </w:tcBorders>
            <w:shd w:val="clear" w:color="auto" w:fill="A6802D"/>
            <w:vAlign w:val="center"/>
          </w:tcPr>
          <w:p w14:paraId="68D0D0A3"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p>
        </w:tc>
        <w:tc>
          <w:tcPr>
            <w:tcW w:w="7138" w:type="dxa"/>
            <w:gridSpan w:val="9"/>
            <w:tcBorders>
              <w:top w:val="nil"/>
              <w:left w:val="nil"/>
              <w:bottom w:val="single" w:sz="12" w:space="0" w:color="FFFFFF" w:themeColor="background1"/>
            </w:tcBorders>
            <w:shd w:val="clear" w:color="auto" w:fill="A6802D"/>
            <w:vAlign w:val="center"/>
          </w:tcPr>
          <w:p w14:paraId="2DE0E691" w14:textId="77777777"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B16D1A" w:rsidRPr="005946C5" w14:paraId="46ADABA9" w14:textId="77777777" w:rsidTr="00947EC7">
        <w:trPr>
          <w:trHeight w:val="28"/>
          <w:jc w:val="center"/>
        </w:trPr>
        <w:tc>
          <w:tcPr>
            <w:tcW w:w="4620" w:type="dxa"/>
            <w:vMerge/>
            <w:tcBorders>
              <w:left w:val="nil"/>
              <w:bottom w:val="triple" w:sz="12" w:space="0" w:color="A6802D"/>
              <w:right w:val="single" w:sz="12" w:space="0" w:color="FFFFFF"/>
            </w:tcBorders>
            <w:shd w:val="clear" w:color="auto" w:fill="A6802D"/>
            <w:vAlign w:val="center"/>
            <w:hideMark/>
          </w:tcPr>
          <w:p w14:paraId="3E845C3C" w14:textId="77777777" w:rsidR="00B16D1A" w:rsidRPr="008E629A" w:rsidRDefault="00B16D1A" w:rsidP="00B41080">
            <w:pPr>
              <w:spacing w:after="0" w:line="240" w:lineRule="exact"/>
              <w:jc w:val="center"/>
              <w:rPr>
                <w:rFonts w:ascii="Noto Sans" w:eastAsia="Times New Roman" w:hAnsi="Noto Sans" w:cs="Noto Sans"/>
                <w:b/>
                <w:bCs/>
                <w:color w:val="FFFFFF"/>
                <w:sz w:val="16"/>
                <w:szCs w:val="16"/>
                <w:lang w:eastAsia="es-MX"/>
              </w:rPr>
            </w:pPr>
          </w:p>
        </w:tc>
        <w:tc>
          <w:tcPr>
            <w:tcW w:w="1427" w:type="dxa"/>
            <w:tcBorders>
              <w:top w:val="single" w:sz="12" w:space="0" w:color="FFFFFF" w:themeColor="background1"/>
              <w:left w:val="nil"/>
              <w:bottom w:val="triple" w:sz="12" w:space="0" w:color="A6802D"/>
              <w:right w:val="single" w:sz="12" w:space="0" w:color="FFFFFF"/>
            </w:tcBorders>
            <w:shd w:val="clear" w:color="auto" w:fill="A6802D"/>
            <w:vAlign w:val="center"/>
          </w:tcPr>
          <w:p w14:paraId="76D338D8" w14:textId="0F4012C5"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Temporales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.1.a)</w:t>
            </w:r>
          </w:p>
        </w:tc>
        <w:tc>
          <w:tcPr>
            <w:tcW w:w="1427" w:type="dxa"/>
            <w:gridSpan w:val="2"/>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2038A883" w14:textId="759B0A53"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Corto Plazo (</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.2.b)</w:t>
            </w:r>
          </w:p>
        </w:tc>
        <w:tc>
          <w:tcPr>
            <w:tcW w:w="1451"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8A56EC0" w14:textId="77777777" w:rsidR="00B16D1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Largo Plazo </w:t>
            </w:r>
          </w:p>
          <w:p w14:paraId="3D968854" w14:textId="7BF2ABF0" w:rsidR="00AD7B80"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w:t>
            </w:r>
            <w:r w:rsidR="00515CCE">
              <w:rPr>
                <w:rFonts w:ascii="Noto Sans" w:eastAsia="Times New Roman" w:hAnsi="Noto Sans" w:cs="Noto Sans"/>
                <w:b/>
                <w:bCs/>
                <w:color w:val="FFFFFF"/>
                <w:sz w:val="16"/>
                <w:szCs w:val="16"/>
                <w:lang w:eastAsia="es-MX"/>
              </w:rPr>
              <w:t>3</w:t>
            </w:r>
            <w:r>
              <w:rPr>
                <w:rFonts w:ascii="Noto Sans" w:eastAsia="Times New Roman" w:hAnsi="Noto Sans" w:cs="Noto Sans"/>
                <w:b/>
                <w:bCs/>
                <w:color w:val="FFFFFF"/>
                <w:sz w:val="16"/>
                <w:szCs w:val="16"/>
                <w:lang w:eastAsia="es-MX"/>
              </w:rPr>
              <w:t>.7.a)</w:t>
            </w:r>
          </w:p>
        </w:tc>
        <w:tc>
          <w:tcPr>
            <w:tcW w:w="1427" w:type="dxa"/>
            <w:gridSpan w:val="2"/>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52F8CA6B" w14:textId="77777777"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Instrumentos Financieros </w:t>
            </w:r>
          </w:p>
        </w:tc>
        <w:tc>
          <w:tcPr>
            <w:tcW w:w="1427" w:type="dxa"/>
            <w:gridSpan w:val="3"/>
            <w:tcBorders>
              <w:top w:val="single" w:sz="12" w:space="0" w:color="FFFFFF" w:themeColor="background1"/>
              <w:left w:val="single" w:sz="12" w:space="0" w:color="FFFFFF" w:themeColor="background1"/>
              <w:bottom w:val="triple" w:sz="12" w:space="0" w:color="A6802D"/>
            </w:tcBorders>
            <w:shd w:val="clear" w:color="auto" w:fill="A6802D"/>
            <w:vAlign w:val="center"/>
          </w:tcPr>
          <w:p w14:paraId="2D7A44C9" w14:textId="77777777" w:rsidR="00B16D1A" w:rsidRPr="008E629A" w:rsidRDefault="00AD7B80" w:rsidP="00AD7B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Pasivos</w:t>
            </w:r>
          </w:p>
        </w:tc>
      </w:tr>
      <w:tr w:rsidR="00947EC7" w:rsidRPr="005946C5" w14:paraId="25D5BA72" w14:textId="77777777" w:rsidTr="00947EC7">
        <w:trPr>
          <w:trHeight w:val="283"/>
          <w:jc w:val="center"/>
        </w:trPr>
        <w:tc>
          <w:tcPr>
            <w:tcW w:w="4620" w:type="dxa"/>
            <w:tcBorders>
              <w:top w:val="triple" w:sz="12" w:space="0" w:color="A6802D"/>
              <w:left w:val="nil"/>
              <w:bottom w:val="nil"/>
              <w:right w:val="nil"/>
            </w:tcBorders>
            <w:shd w:val="clear" w:color="000000" w:fill="F2F2F2"/>
            <w:vAlign w:val="center"/>
          </w:tcPr>
          <w:p w14:paraId="0F9F47AB" w14:textId="77777777" w:rsidR="00947EC7" w:rsidRPr="00947EC7" w:rsidRDefault="00947EC7">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Reservas Operativas (RO)</w:t>
            </w:r>
          </w:p>
        </w:tc>
        <w:tc>
          <w:tcPr>
            <w:tcW w:w="1427" w:type="dxa"/>
            <w:tcBorders>
              <w:top w:val="triple" w:sz="12" w:space="0" w:color="A6802D"/>
              <w:left w:val="nil"/>
              <w:bottom w:val="nil"/>
              <w:right w:val="nil"/>
            </w:tcBorders>
            <w:shd w:val="clear" w:color="000000" w:fill="F2F2F2"/>
            <w:vAlign w:val="center"/>
          </w:tcPr>
          <w:p w14:paraId="6C8D135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44,726,236,486.7</w:t>
            </w:r>
          </w:p>
        </w:tc>
        <w:tc>
          <w:tcPr>
            <w:tcW w:w="1427" w:type="dxa"/>
            <w:gridSpan w:val="2"/>
            <w:tcBorders>
              <w:top w:val="triple" w:sz="12" w:space="0" w:color="A6802D"/>
              <w:left w:val="nil"/>
              <w:bottom w:val="nil"/>
              <w:right w:val="nil"/>
            </w:tcBorders>
            <w:shd w:val="clear" w:color="000000" w:fill="F2F2F2"/>
            <w:vAlign w:val="center"/>
          </w:tcPr>
          <w:p w14:paraId="7B2C78A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triple" w:sz="12" w:space="0" w:color="A6802D"/>
              <w:left w:val="nil"/>
              <w:bottom w:val="nil"/>
              <w:right w:val="nil"/>
            </w:tcBorders>
            <w:shd w:val="clear" w:color="000000" w:fill="F2F2F2"/>
            <w:vAlign w:val="center"/>
          </w:tcPr>
          <w:p w14:paraId="741D7C6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triple" w:sz="12" w:space="0" w:color="A6802D"/>
              <w:left w:val="nil"/>
              <w:bottom w:val="nil"/>
              <w:right w:val="nil"/>
            </w:tcBorders>
            <w:shd w:val="clear" w:color="000000" w:fill="F2F2F2"/>
            <w:vAlign w:val="center"/>
          </w:tcPr>
          <w:p w14:paraId="2A3A5E4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44,726,236,486.7</w:t>
            </w:r>
          </w:p>
        </w:tc>
        <w:tc>
          <w:tcPr>
            <w:tcW w:w="1427" w:type="dxa"/>
            <w:gridSpan w:val="3"/>
            <w:tcBorders>
              <w:top w:val="triple" w:sz="12" w:space="0" w:color="A6802D"/>
              <w:left w:val="nil"/>
              <w:bottom w:val="nil"/>
              <w:right w:val="nil"/>
            </w:tcBorders>
            <w:shd w:val="clear" w:color="000000" w:fill="F2F2F2"/>
            <w:vAlign w:val="center"/>
          </w:tcPr>
          <w:p w14:paraId="1C3E873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0080B889" w14:textId="77777777" w:rsidTr="00947EC7">
        <w:trPr>
          <w:trHeight w:val="283"/>
          <w:jc w:val="center"/>
        </w:trPr>
        <w:tc>
          <w:tcPr>
            <w:tcW w:w="4620" w:type="dxa"/>
            <w:tcBorders>
              <w:top w:val="nil"/>
              <w:left w:val="nil"/>
              <w:bottom w:val="nil"/>
              <w:right w:val="nil"/>
            </w:tcBorders>
            <w:shd w:val="clear" w:color="000000" w:fill="F2F2F2"/>
            <w:vAlign w:val="center"/>
          </w:tcPr>
          <w:p w14:paraId="135E781D" w14:textId="77777777" w:rsidR="00947EC7" w:rsidRPr="00947EC7" w:rsidRDefault="00947EC7">
            <w:pPr>
              <w:spacing w:after="0" w:line="240" w:lineRule="auto"/>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para Contingencia y Financiamiento (ROCF)</w:t>
            </w:r>
          </w:p>
        </w:tc>
        <w:tc>
          <w:tcPr>
            <w:tcW w:w="1427" w:type="dxa"/>
            <w:tcBorders>
              <w:top w:val="nil"/>
              <w:left w:val="nil"/>
              <w:bottom w:val="nil"/>
              <w:right w:val="nil"/>
            </w:tcBorders>
            <w:shd w:val="clear" w:color="000000" w:fill="F2F2F2"/>
            <w:vAlign w:val="center"/>
          </w:tcPr>
          <w:p w14:paraId="2A32BC1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14,711,837,804.0</w:t>
            </w:r>
          </w:p>
        </w:tc>
        <w:tc>
          <w:tcPr>
            <w:tcW w:w="1427" w:type="dxa"/>
            <w:gridSpan w:val="2"/>
            <w:tcBorders>
              <w:top w:val="nil"/>
              <w:left w:val="nil"/>
              <w:bottom w:val="nil"/>
              <w:right w:val="nil"/>
            </w:tcBorders>
            <w:shd w:val="clear" w:color="000000" w:fill="F2F2F2"/>
            <w:vAlign w:val="center"/>
          </w:tcPr>
          <w:p w14:paraId="77658F3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54,324,764,300.3 </w:t>
            </w:r>
          </w:p>
        </w:tc>
        <w:tc>
          <w:tcPr>
            <w:tcW w:w="1451" w:type="dxa"/>
            <w:gridSpan w:val="2"/>
            <w:tcBorders>
              <w:top w:val="nil"/>
              <w:left w:val="nil"/>
              <w:bottom w:val="nil"/>
              <w:right w:val="nil"/>
            </w:tcBorders>
            <w:shd w:val="clear" w:color="000000" w:fill="F2F2F2"/>
            <w:vAlign w:val="center"/>
          </w:tcPr>
          <w:p w14:paraId="0E35512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46,446,994,020.7 </w:t>
            </w:r>
          </w:p>
        </w:tc>
        <w:tc>
          <w:tcPr>
            <w:tcW w:w="1427" w:type="dxa"/>
            <w:gridSpan w:val="2"/>
            <w:tcBorders>
              <w:top w:val="nil"/>
              <w:left w:val="nil"/>
              <w:bottom w:val="nil"/>
              <w:right w:val="nil"/>
            </w:tcBorders>
            <w:shd w:val="clear" w:color="000000" w:fill="F2F2F2"/>
            <w:vAlign w:val="center"/>
          </w:tcPr>
          <w:p w14:paraId="2E7658E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115,483,596,125.0</w:t>
            </w:r>
          </w:p>
        </w:tc>
        <w:tc>
          <w:tcPr>
            <w:tcW w:w="1427" w:type="dxa"/>
            <w:gridSpan w:val="3"/>
            <w:tcBorders>
              <w:top w:val="nil"/>
              <w:left w:val="nil"/>
              <w:bottom w:val="nil"/>
              <w:right w:val="nil"/>
            </w:tcBorders>
            <w:shd w:val="clear" w:color="000000" w:fill="F2F2F2"/>
            <w:vAlign w:val="center"/>
          </w:tcPr>
          <w:p w14:paraId="0D3D375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115,483,596,125.0</w:t>
            </w:r>
          </w:p>
        </w:tc>
      </w:tr>
      <w:tr w:rsidR="00947EC7" w:rsidRPr="00FC0913" w14:paraId="3D4C9E20" w14:textId="77777777" w:rsidTr="00947EC7">
        <w:trPr>
          <w:trHeight w:val="283"/>
          <w:jc w:val="center"/>
        </w:trPr>
        <w:tc>
          <w:tcPr>
            <w:tcW w:w="4620" w:type="dxa"/>
            <w:tcBorders>
              <w:top w:val="nil"/>
              <w:left w:val="nil"/>
              <w:bottom w:val="nil"/>
              <w:right w:val="nil"/>
            </w:tcBorders>
            <w:shd w:val="clear" w:color="000000" w:fill="F2F2F2"/>
            <w:vAlign w:val="center"/>
          </w:tcPr>
          <w:p w14:paraId="65340E86"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Reserva General Financiera y Actuarial (RGFA)</w:t>
            </w:r>
          </w:p>
        </w:tc>
        <w:tc>
          <w:tcPr>
            <w:tcW w:w="1427" w:type="dxa"/>
            <w:tcBorders>
              <w:top w:val="nil"/>
              <w:left w:val="nil"/>
              <w:bottom w:val="nil"/>
              <w:right w:val="nil"/>
            </w:tcBorders>
            <w:shd w:val="clear" w:color="000000" w:fill="F2F2F2"/>
            <w:vAlign w:val="center"/>
          </w:tcPr>
          <w:p w14:paraId="191E11B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2,895,390,276.6</w:t>
            </w:r>
          </w:p>
        </w:tc>
        <w:tc>
          <w:tcPr>
            <w:tcW w:w="1427" w:type="dxa"/>
            <w:gridSpan w:val="2"/>
            <w:tcBorders>
              <w:top w:val="nil"/>
              <w:left w:val="nil"/>
              <w:bottom w:val="nil"/>
              <w:right w:val="nil"/>
            </w:tcBorders>
            <w:shd w:val="clear" w:color="000000" w:fill="F2F2F2"/>
            <w:vAlign w:val="center"/>
          </w:tcPr>
          <w:p w14:paraId="319A28B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2,356,503,422.9</w:t>
            </w:r>
          </w:p>
        </w:tc>
        <w:tc>
          <w:tcPr>
            <w:tcW w:w="1451" w:type="dxa"/>
            <w:gridSpan w:val="2"/>
            <w:tcBorders>
              <w:top w:val="nil"/>
              <w:left w:val="nil"/>
              <w:bottom w:val="nil"/>
              <w:right w:val="nil"/>
            </w:tcBorders>
            <w:shd w:val="clear" w:color="000000" w:fill="F2F2F2"/>
            <w:vAlign w:val="center"/>
          </w:tcPr>
          <w:p w14:paraId="0217E34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10,308,842,996.4</w:t>
            </w:r>
          </w:p>
        </w:tc>
        <w:tc>
          <w:tcPr>
            <w:tcW w:w="1427" w:type="dxa"/>
            <w:gridSpan w:val="2"/>
            <w:tcBorders>
              <w:top w:val="nil"/>
              <w:left w:val="nil"/>
              <w:bottom w:val="nil"/>
              <w:right w:val="nil"/>
            </w:tcBorders>
            <w:shd w:val="clear" w:color="000000" w:fill="F2F2F2"/>
            <w:vAlign w:val="center"/>
          </w:tcPr>
          <w:p w14:paraId="6976A72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15,560,736,695.9</w:t>
            </w:r>
          </w:p>
        </w:tc>
        <w:tc>
          <w:tcPr>
            <w:tcW w:w="1427" w:type="dxa"/>
            <w:gridSpan w:val="3"/>
            <w:tcBorders>
              <w:top w:val="nil"/>
              <w:left w:val="nil"/>
              <w:bottom w:val="nil"/>
              <w:right w:val="nil"/>
            </w:tcBorders>
            <w:shd w:val="clear" w:color="000000" w:fill="F2F2F2"/>
            <w:vAlign w:val="center"/>
          </w:tcPr>
          <w:p w14:paraId="07F7824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15,568,489,858.9</w:t>
            </w:r>
          </w:p>
        </w:tc>
      </w:tr>
      <w:tr w:rsidR="00947EC7" w:rsidRPr="00FC0913" w14:paraId="0AEE7399" w14:textId="77777777" w:rsidTr="00947EC7">
        <w:trPr>
          <w:trHeight w:val="283"/>
          <w:jc w:val="center"/>
        </w:trPr>
        <w:tc>
          <w:tcPr>
            <w:tcW w:w="4620" w:type="dxa"/>
            <w:tcBorders>
              <w:top w:val="nil"/>
              <w:left w:val="nil"/>
              <w:bottom w:val="nil"/>
              <w:right w:val="nil"/>
            </w:tcBorders>
            <w:shd w:val="clear" w:color="000000" w:fill="F2F2F2"/>
            <w:vAlign w:val="center"/>
          </w:tcPr>
          <w:p w14:paraId="3F5B1967"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Gastos Médicos de Pensionados</w:t>
            </w:r>
          </w:p>
        </w:tc>
        <w:tc>
          <w:tcPr>
            <w:tcW w:w="1427" w:type="dxa"/>
            <w:tcBorders>
              <w:top w:val="nil"/>
              <w:left w:val="nil"/>
              <w:bottom w:val="nil"/>
              <w:right w:val="nil"/>
            </w:tcBorders>
            <w:shd w:val="clear" w:color="000000" w:fill="F2F2F2"/>
            <w:vAlign w:val="center"/>
          </w:tcPr>
          <w:p w14:paraId="24EA4DD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1,928,296,586.3</w:t>
            </w:r>
          </w:p>
        </w:tc>
        <w:tc>
          <w:tcPr>
            <w:tcW w:w="1427" w:type="dxa"/>
            <w:gridSpan w:val="2"/>
            <w:tcBorders>
              <w:top w:val="nil"/>
              <w:left w:val="nil"/>
              <w:bottom w:val="nil"/>
              <w:right w:val="nil"/>
            </w:tcBorders>
            <w:shd w:val="clear" w:color="000000" w:fill="F2F2F2"/>
            <w:vAlign w:val="center"/>
          </w:tcPr>
          <w:p w14:paraId="4BB957F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497,188,757.7</w:t>
            </w:r>
          </w:p>
        </w:tc>
        <w:tc>
          <w:tcPr>
            <w:tcW w:w="1451" w:type="dxa"/>
            <w:gridSpan w:val="2"/>
            <w:tcBorders>
              <w:top w:val="nil"/>
              <w:left w:val="nil"/>
              <w:bottom w:val="nil"/>
              <w:right w:val="nil"/>
            </w:tcBorders>
            <w:shd w:val="clear" w:color="000000" w:fill="F2F2F2"/>
            <w:vAlign w:val="center"/>
          </w:tcPr>
          <w:p w14:paraId="2070B2A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43,181,206,402.8</w:t>
            </w:r>
          </w:p>
        </w:tc>
        <w:tc>
          <w:tcPr>
            <w:tcW w:w="1427" w:type="dxa"/>
            <w:gridSpan w:val="2"/>
            <w:tcBorders>
              <w:top w:val="nil"/>
              <w:left w:val="nil"/>
              <w:bottom w:val="nil"/>
              <w:right w:val="nil"/>
            </w:tcBorders>
            <w:shd w:val="clear" w:color="000000" w:fill="F2F2F2"/>
            <w:vAlign w:val="center"/>
          </w:tcPr>
          <w:p w14:paraId="1E82067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45,606,691,746.8</w:t>
            </w:r>
          </w:p>
        </w:tc>
        <w:tc>
          <w:tcPr>
            <w:tcW w:w="1427" w:type="dxa"/>
            <w:gridSpan w:val="3"/>
            <w:tcBorders>
              <w:top w:val="nil"/>
              <w:left w:val="nil"/>
              <w:bottom w:val="nil"/>
              <w:right w:val="nil"/>
            </w:tcBorders>
            <w:shd w:val="clear" w:color="000000" w:fill="F2F2F2"/>
            <w:vAlign w:val="center"/>
          </w:tcPr>
          <w:p w14:paraId="7D3F92C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45,606,691,746.8</w:t>
            </w:r>
          </w:p>
        </w:tc>
      </w:tr>
      <w:tr w:rsidR="00947EC7" w:rsidRPr="00FC0913" w14:paraId="16B03760" w14:textId="77777777" w:rsidTr="00947EC7">
        <w:trPr>
          <w:trHeight w:val="283"/>
          <w:jc w:val="center"/>
        </w:trPr>
        <w:tc>
          <w:tcPr>
            <w:tcW w:w="4620" w:type="dxa"/>
            <w:tcBorders>
              <w:top w:val="nil"/>
              <w:left w:val="nil"/>
              <w:bottom w:val="nil"/>
              <w:right w:val="nil"/>
            </w:tcBorders>
            <w:shd w:val="clear" w:color="000000" w:fill="F2F2F2"/>
            <w:vAlign w:val="center"/>
          </w:tcPr>
          <w:p w14:paraId="78D57AF0"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Seguro de Enfermedad y Maternidad</w:t>
            </w:r>
          </w:p>
        </w:tc>
        <w:tc>
          <w:tcPr>
            <w:tcW w:w="1427" w:type="dxa"/>
            <w:tcBorders>
              <w:top w:val="nil"/>
              <w:left w:val="nil"/>
              <w:bottom w:val="nil"/>
              <w:right w:val="nil"/>
            </w:tcBorders>
            <w:shd w:val="clear" w:color="000000" w:fill="F2F2F2"/>
            <w:vAlign w:val="center"/>
          </w:tcPr>
          <w:p w14:paraId="30DA388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3,559,597,918.6</w:t>
            </w:r>
          </w:p>
        </w:tc>
        <w:tc>
          <w:tcPr>
            <w:tcW w:w="1427" w:type="dxa"/>
            <w:gridSpan w:val="2"/>
            <w:tcBorders>
              <w:top w:val="nil"/>
              <w:left w:val="nil"/>
              <w:bottom w:val="nil"/>
              <w:right w:val="nil"/>
            </w:tcBorders>
            <w:shd w:val="clear" w:color="000000" w:fill="F2F2F2"/>
            <w:vAlign w:val="center"/>
          </w:tcPr>
          <w:p w14:paraId="3EB7904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186,666,464.5 </w:t>
            </w:r>
          </w:p>
        </w:tc>
        <w:tc>
          <w:tcPr>
            <w:tcW w:w="1451" w:type="dxa"/>
            <w:gridSpan w:val="2"/>
            <w:tcBorders>
              <w:top w:val="nil"/>
              <w:left w:val="nil"/>
              <w:bottom w:val="nil"/>
              <w:right w:val="nil"/>
            </w:tcBorders>
            <w:shd w:val="clear" w:color="000000" w:fill="F2F2F2"/>
            <w:vAlign w:val="center"/>
          </w:tcPr>
          <w:p w14:paraId="2325AEB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71,558,790,496.8</w:t>
            </w:r>
          </w:p>
        </w:tc>
        <w:tc>
          <w:tcPr>
            <w:tcW w:w="1427" w:type="dxa"/>
            <w:gridSpan w:val="2"/>
            <w:tcBorders>
              <w:top w:val="nil"/>
              <w:left w:val="nil"/>
              <w:bottom w:val="nil"/>
              <w:right w:val="nil"/>
            </w:tcBorders>
            <w:shd w:val="clear" w:color="000000" w:fill="F2F2F2"/>
            <w:vAlign w:val="center"/>
          </w:tcPr>
          <w:p w14:paraId="77AD20B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75,305,054,879.9</w:t>
            </w:r>
          </w:p>
        </w:tc>
        <w:tc>
          <w:tcPr>
            <w:tcW w:w="1427" w:type="dxa"/>
            <w:gridSpan w:val="3"/>
            <w:tcBorders>
              <w:top w:val="nil"/>
              <w:left w:val="nil"/>
              <w:bottom w:val="nil"/>
              <w:right w:val="nil"/>
            </w:tcBorders>
            <w:shd w:val="clear" w:color="000000" w:fill="F2F2F2"/>
            <w:vAlign w:val="center"/>
          </w:tcPr>
          <w:p w14:paraId="47CCCBB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75,305,054,879.9</w:t>
            </w:r>
          </w:p>
        </w:tc>
      </w:tr>
      <w:tr w:rsidR="00947EC7" w:rsidRPr="00FC0913" w14:paraId="2BD46311" w14:textId="77777777" w:rsidTr="00947EC7">
        <w:trPr>
          <w:trHeight w:val="283"/>
          <w:jc w:val="center"/>
        </w:trPr>
        <w:tc>
          <w:tcPr>
            <w:tcW w:w="4620" w:type="dxa"/>
            <w:tcBorders>
              <w:top w:val="nil"/>
              <w:left w:val="nil"/>
              <w:bottom w:val="nil"/>
              <w:right w:val="nil"/>
            </w:tcBorders>
            <w:shd w:val="clear" w:color="000000" w:fill="F2F2F2"/>
            <w:vAlign w:val="center"/>
          </w:tcPr>
          <w:p w14:paraId="01491613"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Seguro de Guarderías y Prestaciones Sociales</w:t>
            </w:r>
          </w:p>
        </w:tc>
        <w:tc>
          <w:tcPr>
            <w:tcW w:w="1427" w:type="dxa"/>
            <w:tcBorders>
              <w:top w:val="nil"/>
              <w:left w:val="nil"/>
              <w:bottom w:val="nil"/>
              <w:right w:val="nil"/>
            </w:tcBorders>
            <w:shd w:val="clear" w:color="000000" w:fill="F2F2F2"/>
            <w:vAlign w:val="center"/>
          </w:tcPr>
          <w:p w14:paraId="6BE0933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103,992,382.3</w:t>
            </w:r>
          </w:p>
        </w:tc>
        <w:tc>
          <w:tcPr>
            <w:tcW w:w="1427" w:type="dxa"/>
            <w:gridSpan w:val="2"/>
            <w:tcBorders>
              <w:top w:val="nil"/>
              <w:left w:val="nil"/>
              <w:bottom w:val="nil"/>
              <w:right w:val="nil"/>
            </w:tcBorders>
            <w:shd w:val="clear" w:color="000000" w:fill="F2F2F2"/>
            <w:vAlign w:val="center"/>
          </w:tcPr>
          <w:p w14:paraId="217CADA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110,134.1</w:t>
            </w:r>
          </w:p>
        </w:tc>
        <w:tc>
          <w:tcPr>
            <w:tcW w:w="1451" w:type="dxa"/>
            <w:gridSpan w:val="2"/>
            <w:tcBorders>
              <w:top w:val="nil"/>
              <w:left w:val="nil"/>
              <w:bottom w:val="nil"/>
              <w:right w:val="nil"/>
            </w:tcBorders>
            <w:shd w:val="clear" w:color="000000" w:fill="F2F2F2"/>
            <w:vAlign w:val="center"/>
          </w:tcPr>
          <w:p w14:paraId="471EAAA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1,379,327,190.2</w:t>
            </w:r>
          </w:p>
        </w:tc>
        <w:tc>
          <w:tcPr>
            <w:tcW w:w="1427" w:type="dxa"/>
            <w:gridSpan w:val="2"/>
            <w:tcBorders>
              <w:top w:val="nil"/>
              <w:left w:val="nil"/>
              <w:bottom w:val="nil"/>
              <w:right w:val="nil"/>
            </w:tcBorders>
            <w:shd w:val="clear" w:color="000000" w:fill="F2F2F2"/>
            <w:vAlign w:val="center"/>
          </w:tcPr>
          <w:p w14:paraId="7E865B8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1,483,429,706.6</w:t>
            </w:r>
          </w:p>
        </w:tc>
        <w:tc>
          <w:tcPr>
            <w:tcW w:w="1427" w:type="dxa"/>
            <w:gridSpan w:val="3"/>
            <w:tcBorders>
              <w:top w:val="nil"/>
              <w:left w:val="nil"/>
              <w:bottom w:val="nil"/>
              <w:right w:val="nil"/>
            </w:tcBorders>
            <w:shd w:val="clear" w:color="000000" w:fill="F2F2F2"/>
            <w:vAlign w:val="center"/>
          </w:tcPr>
          <w:p w14:paraId="03714799"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1,483,429,706.6 </w:t>
            </w:r>
          </w:p>
        </w:tc>
      </w:tr>
      <w:tr w:rsidR="00947EC7" w:rsidRPr="00FC0913" w14:paraId="3EDC9CDD" w14:textId="77777777" w:rsidTr="00947EC7">
        <w:trPr>
          <w:trHeight w:val="283"/>
          <w:jc w:val="center"/>
        </w:trPr>
        <w:tc>
          <w:tcPr>
            <w:tcW w:w="4620" w:type="dxa"/>
            <w:tcBorders>
              <w:top w:val="nil"/>
              <w:left w:val="nil"/>
              <w:bottom w:val="nil"/>
              <w:right w:val="nil"/>
            </w:tcBorders>
            <w:shd w:val="clear" w:color="000000" w:fill="F2F2F2"/>
            <w:vAlign w:val="center"/>
          </w:tcPr>
          <w:p w14:paraId="0DE95CA5"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Invalidez y Vida</w:t>
            </w:r>
          </w:p>
        </w:tc>
        <w:tc>
          <w:tcPr>
            <w:tcW w:w="1427" w:type="dxa"/>
            <w:tcBorders>
              <w:top w:val="nil"/>
              <w:left w:val="nil"/>
              <w:bottom w:val="nil"/>
              <w:right w:val="nil"/>
            </w:tcBorders>
            <w:shd w:val="clear" w:color="000000" w:fill="F2F2F2"/>
            <w:vAlign w:val="center"/>
          </w:tcPr>
          <w:p w14:paraId="4C93D4C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749,530,491.1</w:t>
            </w:r>
          </w:p>
        </w:tc>
        <w:tc>
          <w:tcPr>
            <w:tcW w:w="1427" w:type="dxa"/>
            <w:gridSpan w:val="2"/>
            <w:tcBorders>
              <w:top w:val="nil"/>
              <w:left w:val="nil"/>
              <w:bottom w:val="nil"/>
              <w:right w:val="nil"/>
            </w:tcBorders>
            <w:shd w:val="clear" w:color="000000" w:fill="F2F2F2"/>
            <w:vAlign w:val="center"/>
          </w:tcPr>
          <w:p w14:paraId="5E56778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79,657,599.2</w:t>
            </w:r>
          </w:p>
        </w:tc>
        <w:tc>
          <w:tcPr>
            <w:tcW w:w="1451" w:type="dxa"/>
            <w:gridSpan w:val="2"/>
            <w:tcBorders>
              <w:top w:val="nil"/>
              <w:left w:val="nil"/>
              <w:bottom w:val="nil"/>
              <w:right w:val="nil"/>
            </w:tcBorders>
            <w:shd w:val="clear" w:color="000000" w:fill="F2F2F2"/>
            <w:vAlign w:val="center"/>
          </w:tcPr>
          <w:p w14:paraId="36359BA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24,140,339,303.8</w:t>
            </w:r>
          </w:p>
        </w:tc>
        <w:tc>
          <w:tcPr>
            <w:tcW w:w="1427" w:type="dxa"/>
            <w:gridSpan w:val="2"/>
            <w:tcBorders>
              <w:top w:val="nil"/>
              <w:left w:val="nil"/>
              <w:bottom w:val="nil"/>
              <w:right w:val="nil"/>
            </w:tcBorders>
            <w:shd w:val="clear" w:color="000000" w:fill="F2F2F2"/>
            <w:vAlign w:val="center"/>
          </w:tcPr>
          <w:p w14:paraId="41A1A61E"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24,969,527,394.1</w:t>
            </w:r>
          </w:p>
        </w:tc>
        <w:tc>
          <w:tcPr>
            <w:tcW w:w="1427" w:type="dxa"/>
            <w:gridSpan w:val="3"/>
            <w:tcBorders>
              <w:top w:val="nil"/>
              <w:left w:val="nil"/>
              <w:bottom w:val="nil"/>
              <w:right w:val="nil"/>
            </w:tcBorders>
            <w:shd w:val="clear" w:color="000000" w:fill="F2F2F2"/>
            <w:vAlign w:val="center"/>
          </w:tcPr>
          <w:p w14:paraId="716EB32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24,969,527,394.1</w:t>
            </w:r>
          </w:p>
        </w:tc>
      </w:tr>
      <w:tr w:rsidR="00947EC7" w:rsidRPr="00FC0913" w14:paraId="39D5D5D2" w14:textId="77777777" w:rsidTr="00947EC7">
        <w:trPr>
          <w:trHeight w:val="283"/>
          <w:jc w:val="center"/>
        </w:trPr>
        <w:tc>
          <w:tcPr>
            <w:tcW w:w="4620" w:type="dxa"/>
            <w:tcBorders>
              <w:top w:val="nil"/>
              <w:left w:val="nil"/>
              <w:bottom w:val="nil"/>
              <w:right w:val="nil"/>
            </w:tcBorders>
            <w:shd w:val="clear" w:color="000000" w:fill="F2F2F2"/>
            <w:vAlign w:val="center"/>
          </w:tcPr>
          <w:p w14:paraId="307AAA1F"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RFA Riesgo de Trabajo</w:t>
            </w:r>
          </w:p>
        </w:tc>
        <w:tc>
          <w:tcPr>
            <w:tcW w:w="1427" w:type="dxa"/>
            <w:tcBorders>
              <w:top w:val="nil"/>
              <w:left w:val="nil"/>
              <w:bottom w:val="nil"/>
              <w:right w:val="nil"/>
            </w:tcBorders>
            <w:shd w:val="clear" w:color="000000" w:fill="F2F2F2"/>
            <w:vAlign w:val="center"/>
          </w:tcPr>
          <w:p w14:paraId="6CDD26F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709,782,395.0</w:t>
            </w:r>
          </w:p>
        </w:tc>
        <w:tc>
          <w:tcPr>
            <w:tcW w:w="1427" w:type="dxa"/>
            <w:gridSpan w:val="2"/>
            <w:tcBorders>
              <w:top w:val="nil"/>
              <w:left w:val="nil"/>
              <w:bottom w:val="nil"/>
              <w:right w:val="nil"/>
            </w:tcBorders>
            <w:shd w:val="clear" w:color="000000" w:fill="F2F2F2"/>
            <w:vAlign w:val="center"/>
          </w:tcPr>
          <w:p w14:paraId="7B2C214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72,815,843.5</w:t>
            </w:r>
          </w:p>
        </w:tc>
        <w:tc>
          <w:tcPr>
            <w:tcW w:w="1451" w:type="dxa"/>
            <w:gridSpan w:val="2"/>
            <w:tcBorders>
              <w:top w:val="nil"/>
              <w:left w:val="nil"/>
              <w:bottom w:val="nil"/>
              <w:right w:val="nil"/>
            </w:tcBorders>
            <w:shd w:val="clear" w:color="000000" w:fill="F2F2F2"/>
            <w:vAlign w:val="center"/>
          </w:tcPr>
          <w:p w14:paraId="6704808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18,239,818,662.1</w:t>
            </w:r>
          </w:p>
        </w:tc>
        <w:tc>
          <w:tcPr>
            <w:tcW w:w="1427" w:type="dxa"/>
            <w:gridSpan w:val="2"/>
            <w:tcBorders>
              <w:top w:val="nil"/>
              <w:left w:val="nil"/>
              <w:bottom w:val="nil"/>
              <w:right w:val="nil"/>
            </w:tcBorders>
            <w:shd w:val="clear" w:color="000000" w:fill="F2F2F2"/>
            <w:vAlign w:val="center"/>
          </w:tcPr>
          <w:p w14:paraId="32C35A4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19,022,416,900.6</w:t>
            </w:r>
          </w:p>
        </w:tc>
        <w:tc>
          <w:tcPr>
            <w:tcW w:w="1427" w:type="dxa"/>
            <w:gridSpan w:val="3"/>
            <w:tcBorders>
              <w:top w:val="nil"/>
              <w:left w:val="nil"/>
              <w:bottom w:val="nil"/>
              <w:right w:val="nil"/>
            </w:tcBorders>
            <w:shd w:val="clear" w:color="000000" w:fill="F2F2F2"/>
            <w:vAlign w:val="center"/>
          </w:tcPr>
          <w:p w14:paraId="0B6B98E9"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19,022,416,900.6</w:t>
            </w:r>
          </w:p>
        </w:tc>
      </w:tr>
      <w:tr w:rsidR="00947EC7" w:rsidRPr="00FC0913" w14:paraId="6FCFB242" w14:textId="77777777" w:rsidTr="00947EC7">
        <w:trPr>
          <w:trHeight w:val="283"/>
          <w:jc w:val="center"/>
        </w:trPr>
        <w:tc>
          <w:tcPr>
            <w:tcW w:w="4620" w:type="dxa"/>
            <w:tcBorders>
              <w:top w:val="nil"/>
              <w:left w:val="nil"/>
              <w:bottom w:val="nil"/>
              <w:right w:val="nil"/>
            </w:tcBorders>
            <w:shd w:val="clear" w:color="000000" w:fill="F2F2F2"/>
            <w:vAlign w:val="center"/>
          </w:tcPr>
          <w:p w14:paraId="5B78B573" w14:textId="77777777" w:rsidR="00947EC7" w:rsidRPr="00947EC7" w:rsidRDefault="00947EC7">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w:t>
            </w:r>
          </w:p>
        </w:tc>
        <w:tc>
          <w:tcPr>
            <w:tcW w:w="1427" w:type="dxa"/>
            <w:tcBorders>
              <w:top w:val="nil"/>
              <w:left w:val="nil"/>
              <w:bottom w:val="nil"/>
              <w:right w:val="nil"/>
            </w:tcBorders>
            <w:shd w:val="clear" w:color="000000" w:fill="F2F2F2"/>
            <w:vAlign w:val="center"/>
          </w:tcPr>
          <w:p w14:paraId="40D5E6A7"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69,384,664,340.6</w:t>
            </w:r>
          </w:p>
        </w:tc>
        <w:tc>
          <w:tcPr>
            <w:tcW w:w="1427" w:type="dxa"/>
            <w:gridSpan w:val="2"/>
            <w:tcBorders>
              <w:top w:val="nil"/>
              <w:left w:val="nil"/>
              <w:bottom w:val="nil"/>
              <w:right w:val="nil"/>
            </w:tcBorders>
            <w:shd w:val="clear" w:color="000000" w:fill="F2F2F2"/>
            <w:vAlign w:val="center"/>
          </w:tcPr>
          <w:p w14:paraId="68FE6164"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57,517,706,522.2 </w:t>
            </w:r>
          </w:p>
        </w:tc>
        <w:tc>
          <w:tcPr>
            <w:tcW w:w="1451" w:type="dxa"/>
            <w:gridSpan w:val="2"/>
            <w:tcBorders>
              <w:top w:val="nil"/>
              <w:left w:val="nil"/>
              <w:bottom w:val="nil"/>
              <w:right w:val="nil"/>
            </w:tcBorders>
            <w:shd w:val="clear" w:color="000000" w:fill="F2F2F2"/>
            <w:vAlign w:val="center"/>
          </w:tcPr>
          <w:p w14:paraId="01EB398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215,255,319,072.8 </w:t>
            </w:r>
          </w:p>
        </w:tc>
        <w:tc>
          <w:tcPr>
            <w:tcW w:w="1427" w:type="dxa"/>
            <w:gridSpan w:val="2"/>
            <w:tcBorders>
              <w:top w:val="nil"/>
              <w:left w:val="nil"/>
              <w:bottom w:val="nil"/>
              <w:right w:val="nil"/>
            </w:tcBorders>
            <w:shd w:val="clear" w:color="000000" w:fill="F2F2F2"/>
            <w:vAlign w:val="center"/>
          </w:tcPr>
          <w:p w14:paraId="380AE814"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342,157,689,935.6</w:t>
            </w:r>
          </w:p>
        </w:tc>
        <w:tc>
          <w:tcPr>
            <w:tcW w:w="1427" w:type="dxa"/>
            <w:gridSpan w:val="3"/>
            <w:tcBorders>
              <w:top w:val="nil"/>
              <w:left w:val="nil"/>
              <w:bottom w:val="nil"/>
              <w:right w:val="nil"/>
            </w:tcBorders>
            <w:shd w:val="clear" w:color="000000" w:fill="F2F2F2"/>
            <w:vAlign w:val="center"/>
          </w:tcPr>
          <w:p w14:paraId="157620A9" w14:textId="77777777" w:rsidR="00947EC7" w:rsidRPr="00947EC7" w:rsidRDefault="00947EC7">
            <w:pPr>
              <w:spacing w:after="0" w:line="240" w:lineRule="auto"/>
              <w:jc w:val="right"/>
              <w:rPr>
                <w:rFonts w:ascii="Noto Sans" w:hAnsi="Noto Sans" w:cs="Noto Sans"/>
                <w:b/>
                <w:bCs/>
                <w:color w:val="000000"/>
                <w:sz w:val="15"/>
                <w:szCs w:val="15"/>
                <w:lang w:eastAsia="es-MX"/>
              </w:rPr>
            </w:pPr>
            <w:r w:rsidRPr="00947EC7">
              <w:rPr>
                <w:rFonts w:ascii="Noto Sans" w:hAnsi="Noto Sans" w:cs="Noto Sans"/>
                <w:b/>
                <w:bCs/>
                <w:color w:val="000000"/>
                <w:sz w:val="15"/>
                <w:szCs w:val="15"/>
              </w:rPr>
              <w:t xml:space="preserve">297,439,206,611.9 </w:t>
            </w:r>
          </w:p>
        </w:tc>
      </w:tr>
      <w:tr w:rsidR="00947EC7" w:rsidRPr="00FC0913" w14:paraId="6312E0E6" w14:textId="77777777" w:rsidTr="00947EC7">
        <w:trPr>
          <w:trHeight w:val="283"/>
          <w:jc w:val="center"/>
        </w:trPr>
        <w:tc>
          <w:tcPr>
            <w:tcW w:w="4620" w:type="dxa"/>
            <w:tcBorders>
              <w:top w:val="nil"/>
              <w:left w:val="nil"/>
              <w:bottom w:val="nil"/>
              <w:right w:val="nil"/>
            </w:tcBorders>
            <w:shd w:val="clear" w:color="000000" w:fill="F2F2F2"/>
            <w:vAlign w:val="center"/>
          </w:tcPr>
          <w:p w14:paraId="0DF67708"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1 (RJPS1)</w:t>
            </w:r>
          </w:p>
        </w:tc>
        <w:tc>
          <w:tcPr>
            <w:tcW w:w="1427" w:type="dxa"/>
            <w:tcBorders>
              <w:top w:val="nil"/>
              <w:left w:val="nil"/>
              <w:bottom w:val="nil"/>
              <w:right w:val="nil"/>
            </w:tcBorders>
            <w:shd w:val="clear" w:color="000000" w:fill="F2F2F2"/>
            <w:vAlign w:val="center"/>
          </w:tcPr>
          <w:p w14:paraId="4341147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1,659,066,047.4</w:t>
            </w:r>
          </w:p>
        </w:tc>
        <w:tc>
          <w:tcPr>
            <w:tcW w:w="1427" w:type="dxa"/>
            <w:gridSpan w:val="2"/>
            <w:tcBorders>
              <w:top w:val="nil"/>
              <w:left w:val="nil"/>
              <w:bottom w:val="nil"/>
              <w:right w:val="nil"/>
            </w:tcBorders>
            <w:shd w:val="clear" w:color="000000" w:fill="F2F2F2"/>
            <w:vAlign w:val="center"/>
          </w:tcPr>
          <w:p w14:paraId="32BC148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2,032,791,392.4</w:t>
            </w:r>
          </w:p>
        </w:tc>
        <w:tc>
          <w:tcPr>
            <w:tcW w:w="1451" w:type="dxa"/>
            <w:gridSpan w:val="2"/>
            <w:tcBorders>
              <w:top w:val="nil"/>
              <w:left w:val="nil"/>
              <w:bottom w:val="nil"/>
              <w:right w:val="nil"/>
            </w:tcBorders>
            <w:shd w:val="clear" w:color="000000" w:fill="F2F2F2"/>
            <w:vAlign w:val="center"/>
          </w:tcPr>
          <w:p w14:paraId="746BF79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7,329,320,398.8</w:t>
            </w:r>
          </w:p>
        </w:tc>
        <w:tc>
          <w:tcPr>
            <w:tcW w:w="1427" w:type="dxa"/>
            <w:gridSpan w:val="2"/>
            <w:tcBorders>
              <w:top w:val="nil"/>
              <w:left w:val="nil"/>
              <w:bottom w:val="nil"/>
              <w:right w:val="nil"/>
            </w:tcBorders>
            <w:shd w:val="clear" w:color="000000" w:fill="F2F2F2"/>
            <w:vAlign w:val="center"/>
          </w:tcPr>
          <w:p w14:paraId="6D078FA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11,021,177,838.6</w:t>
            </w:r>
          </w:p>
        </w:tc>
        <w:tc>
          <w:tcPr>
            <w:tcW w:w="1427" w:type="dxa"/>
            <w:gridSpan w:val="3"/>
            <w:tcBorders>
              <w:top w:val="nil"/>
              <w:left w:val="nil"/>
              <w:bottom w:val="nil"/>
              <w:right w:val="nil"/>
            </w:tcBorders>
            <w:shd w:val="clear" w:color="000000" w:fill="F2F2F2"/>
            <w:vAlign w:val="center"/>
          </w:tcPr>
          <w:p w14:paraId="561E4A3D" w14:textId="0D36BB6F" w:rsidR="00947EC7" w:rsidRPr="00947EC7" w:rsidRDefault="00947EC7" w:rsidP="00625C16">
            <w:pPr>
              <w:spacing w:after="0" w:line="240" w:lineRule="auto"/>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11,021,515,575.3</w:t>
            </w:r>
          </w:p>
        </w:tc>
      </w:tr>
      <w:tr w:rsidR="00947EC7" w:rsidRPr="00FC0913" w14:paraId="5258A87B" w14:textId="77777777" w:rsidTr="00947EC7">
        <w:trPr>
          <w:trHeight w:val="283"/>
          <w:jc w:val="center"/>
        </w:trPr>
        <w:tc>
          <w:tcPr>
            <w:tcW w:w="4620" w:type="dxa"/>
            <w:tcBorders>
              <w:top w:val="nil"/>
              <w:left w:val="nil"/>
              <w:bottom w:val="nil"/>
              <w:right w:val="nil"/>
            </w:tcBorders>
            <w:shd w:val="clear" w:color="000000" w:fill="F2F2F2"/>
            <w:vAlign w:val="center"/>
          </w:tcPr>
          <w:p w14:paraId="664AB01E"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Subcuenta 2 (RJPS2)</w:t>
            </w:r>
          </w:p>
        </w:tc>
        <w:tc>
          <w:tcPr>
            <w:tcW w:w="1427" w:type="dxa"/>
            <w:tcBorders>
              <w:top w:val="nil"/>
              <w:left w:val="nil"/>
              <w:bottom w:val="nil"/>
              <w:right w:val="nil"/>
            </w:tcBorders>
            <w:shd w:val="clear" w:color="000000" w:fill="F2F2F2"/>
            <w:vAlign w:val="center"/>
          </w:tcPr>
          <w:p w14:paraId="5A53638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9,670,504,427.5</w:t>
            </w:r>
          </w:p>
        </w:tc>
        <w:tc>
          <w:tcPr>
            <w:tcW w:w="1427" w:type="dxa"/>
            <w:gridSpan w:val="2"/>
            <w:tcBorders>
              <w:top w:val="nil"/>
              <w:left w:val="nil"/>
              <w:bottom w:val="nil"/>
              <w:right w:val="nil"/>
            </w:tcBorders>
            <w:shd w:val="clear" w:color="000000" w:fill="F2F2F2"/>
            <w:vAlign w:val="center"/>
          </w:tcPr>
          <w:p w14:paraId="4C1F5E0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693,264,063.7 </w:t>
            </w:r>
          </w:p>
        </w:tc>
        <w:tc>
          <w:tcPr>
            <w:tcW w:w="1451" w:type="dxa"/>
            <w:gridSpan w:val="2"/>
            <w:tcBorders>
              <w:top w:val="nil"/>
              <w:left w:val="nil"/>
              <w:bottom w:val="nil"/>
              <w:right w:val="nil"/>
            </w:tcBorders>
            <w:shd w:val="clear" w:color="000000" w:fill="F2F2F2"/>
            <w:vAlign w:val="center"/>
          </w:tcPr>
          <w:p w14:paraId="6A67472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144,501,811,102.6</w:t>
            </w:r>
          </w:p>
        </w:tc>
        <w:tc>
          <w:tcPr>
            <w:tcW w:w="1427" w:type="dxa"/>
            <w:gridSpan w:val="2"/>
            <w:tcBorders>
              <w:top w:val="nil"/>
              <w:left w:val="nil"/>
              <w:bottom w:val="nil"/>
              <w:right w:val="nil"/>
            </w:tcBorders>
            <w:shd w:val="clear" w:color="000000" w:fill="F2F2F2"/>
            <w:vAlign w:val="center"/>
          </w:tcPr>
          <w:p w14:paraId="172077E2"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154,865,579,593.8</w:t>
            </w:r>
          </w:p>
        </w:tc>
        <w:tc>
          <w:tcPr>
            <w:tcW w:w="1427" w:type="dxa"/>
            <w:gridSpan w:val="3"/>
            <w:tcBorders>
              <w:top w:val="nil"/>
              <w:left w:val="nil"/>
              <w:bottom w:val="nil"/>
              <w:right w:val="nil"/>
            </w:tcBorders>
            <w:shd w:val="clear" w:color="000000" w:fill="F2F2F2"/>
            <w:vAlign w:val="center"/>
          </w:tcPr>
          <w:p w14:paraId="53A3EA19"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154,865,602,851.8 </w:t>
            </w:r>
          </w:p>
        </w:tc>
      </w:tr>
      <w:tr w:rsidR="00947EC7" w:rsidRPr="00FC0913" w14:paraId="4718F9D9" w14:textId="77777777" w:rsidTr="00947EC7">
        <w:trPr>
          <w:trHeight w:val="283"/>
          <w:jc w:val="center"/>
        </w:trPr>
        <w:tc>
          <w:tcPr>
            <w:tcW w:w="4620" w:type="dxa"/>
            <w:tcBorders>
              <w:top w:val="nil"/>
              <w:left w:val="nil"/>
              <w:bottom w:val="nil"/>
              <w:right w:val="nil"/>
            </w:tcBorders>
            <w:shd w:val="clear" w:color="000000" w:fill="F2F2F2"/>
            <w:vAlign w:val="center"/>
          </w:tcPr>
          <w:p w14:paraId="2E446A00" w14:textId="77777777" w:rsidR="00947EC7" w:rsidRPr="00947EC7" w:rsidRDefault="00947EC7">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Reservas y Fondo Laboral</w:t>
            </w:r>
          </w:p>
        </w:tc>
        <w:tc>
          <w:tcPr>
            <w:tcW w:w="1427" w:type="dxa"/>
            <w:tcBorders>
              <w:top w:val="nil"/>
              <w:left w:val="nil"/>
              <w:bottom w:val="nil"/>
              <w:right w:val="nil"/>
            </w:tcBorders>
            <w:shd w:val="clear" w:color="000000" w:fill="F2F2F2"/>
            <w:vAlign w:val="center"/>
          </w:tcPr>
          <w:p w14:paraId="11A34A62"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80,714,234,815.5</w:t>
            </w:r>
          </w:p>
        </w:tc>
        <w:tc>
          <w:tcPr>
            <w:tcW w:w="1427" w:type="dxa"/>
            <w:gridSpan w:val="2"/>
            <w:tcBorders>
              <w:top w:val="nil"/>
              <w:left w:val="nil"/>
              <w:bottom w:val="nil"/>
              <w:right w:val="nil"/>
            </w:tcBorders>
            <w:shd w:val="clear" w:color="000000" w:fill="F2F2F2"/>
            <w:vAlign w:val="center"/>
          </w:tcPr>
          <w:p w14:paraId="406956E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60,243,761,978.3 </w:t>
            </w:r>
          </w:p>
        </w:tc>
        <w:tc>
          <w:tcPr>
            <w:tcW w:w="1451" w:type="dxa"/>
            <w:gridSpan w:val="2"/>
            <w:tcBorders>
              <w:top w:val="nil"/>
              <w:left w:val="nil"/>
              <w:bottom w:val="nil"/>
              <w:right w:val="nil"/>
            </w:tcBorders>
            <w:shd w:val="clear" w:color="000000" w:fill="F2F2F2"/>
            <w:vAlign w:val="center"/>
          </w:tcPr>
          <w:p w14:paraId="2438032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367,086,450,574.2 </w:t>
            </w:r>
          </w:p>
        </w:tc>
        <w:tc>
          <w:tcPr>
            <w:tcW w:w="1427" w:type="dxa"/>
            <w:gridSpan w:val="2"/>
            <w:tcBorders>
              <w:top w:val="nil"/>
              <w:left w:val="nil"/>
              <w:bottom w:val="nil"/>
              <w:right w:val="nil"/>
            </w:tcBorders>
            <w:shd w:val="clear" w:color="000000" w:fill="F2F2F2"/>
            <w:vAlign w:val="center"/>
          </w:tcPr>
          <w:p w14:paraId="13DDFF8F"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508,044,447,368.0</w:t>
            </w:r>
          </w:p>
        </w:tc>
        <w:tc>
          <w:tcPr>
            <w:tcW w:w="1427" w:type="dxa"/>
            <w:gridSpan w:val="3"/>
            <w:tcBorders>
              <w:top w:val="nil"/>
              <w:left w:val="nil"/>
              <w:bottom w:val="nil"/>
              <w:right w:val="nil"/>
            </w:tcBorders>
            <w:shd w:val="clear" w:color="000000" w:fill="F2F2F2"/>
            <w:vAlign w:val="center"/>
          </w:tcPr>
          <w:p w14:paraId="46A1C540" w14:textId="77777777" w:rsidR="00947EC7" w:rsidRPr="00947EC7" w:rsidRDefault="00947EC7">
            <w:pPr>
              <w:spacing w:after="0" w:line="240" w:lineRule="auto"/>
              <w:jc w:val="right"/>
              <w:rPr>
                <w:rFonts w:ascii="Noto Sans" w:hAnsi="Noto Sans" w:cs="Noto Sans"/>
                <w:b/>
                <w:bCs/>
                <w:color w:val="000000"/>
                <w:sz w:val="15"/>
                <w:szCs w:val="15"/>
                <w:lang w:eastAsia="es-MX"/>
              </w:rPr>
            </w:pPr>
            <w:r w:rsidRPr="00947EC7">
              <w:rPr>
                <w:rFonts w:ascii="Noto Sans" w:hAnsi="Noto Sans" w:cs="Noto Sans"/>
                <w:b/>
                <w:bCs/>
                <w:color w:val="000000"/>
                <w:sz w:val="15"/>
                <w:szCs w:val="15"/>
              </w:rPr>
              <w:t>463,326,325,039.0</w:t>
            </w:r>
          </w:p>
        </w:tc>
      </w:tr>
      <w:tr w:rsidR="00947EC7" w:rsidRPr="00FC0913" w14:paraId="606624C0" w14:textId="77777777" w:rsidTr="00947EC7">
        <w:trPr>
          <w:trHeight w:val="283"/>
          <w:jc w:val="center"/>
        </w:trPr>
        <w:tc>
          <w:tcPr>
            <w:tcW w:w="4620" w:type="dxa"/>
            <w:tcBorders>
              <w:top w:val="nil"/>
              <w:left w:val="nil"/>
              <w:bottom w:val="nil"/>
              <w:right w:val="nil"/>
            </w:tcBorders>
            <w:shd w:val="clear" w:color="000000" w:fill="F2F2F2"/>
            <w:vAlign w:val="center"/>
          </w:tcPr>
          <w:p w14:paraId="2435CC41" w14:textId="77777777" w:rsidR="00947EC7" w:rsidRPr="00947EC7" w:rsidRDefault="00947EC7">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Reserva para hacer frente a reclamaciones de SAR</w:t>
            </w:r>
          </w:p>
        </w:tc>
        <w:tc>
          <w:tcPr>
            <w:tcW w:w="1427" w:type="dxa"/>
            <w:tcBorders>
              <w:top w:val="nil"/>
              <w:left w:val="nil"/>
              <w:bottom w:val="nil"/>
              <w:right w:val="nil"/>
            </w:tcBorders>
            <w:shd w:val="clear" w:color="000000" w:fill="F2F2F2"/>
            <w:vAlign w:val="center"/>
          </w:tcPr>
          <w:p w14:paraId="3EE9ABF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322,662,455.7</w:t>
            </w:r>
          </w:p>
        </w:tc>
        <w:tc>
          <w:tcPr>
            <w:tcW w:w="1427" w:type="dxa"/>
            <w:gridSpan w:val="2"/>
            <w:tcBorders>
              <w:top w:val="nil"/>
              <w:left w:val="nil"/>
              <w:bottom w:val="nil"/>
              <w:right w:val="nil"/>
            </w:tcBorders>
            <w:shd w:val="clear" w:color="000000" w:fill="F2F2F2"/>
            <w:vAlign w:val="center"/>
          </w:tcPr>
          <w:p w14:paraId="2576C7B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58D9B9E2"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33BD089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322,662,455.7</w:t>
            </w:r>
          </w:p>
        </w:tc>
        <w:tc>
          <w:tcPr>
            <w:tcW w:w="1427" w:type="dxa"/>
            <w:gridSpan w:val="3"/>
            <w:tcBorders>
              <w:top w:val="nil"/>
              <w:left w:val="nil"/>
              <w:bottom w:val="nil"/>
              <w:right w:val="nil"/>
            </w:tcBorders>
            <w:shd w:val="clear" w:color="000000" w:fill="F2F2F2"/>
            <w:vAlign w:val="center"/>
          </w:tcPr>
          <w:p w14:paraId="75FF5B8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50235A16" w14:textId="77777777" w:rsidTr="00947EC7">
        <w:trPr>
          <w:trHeight w:val="283"/>
          <w:jc w:val="center"/>
        </w:trPr>
        <w:tc>
          <w:tcPr>
            <w:tcW w:w="4620" w:type="dxa"/>
            <w:tcBorders>
              <w:top w:val="nil"/>
              <w:left w:val="nil"/>
              <w:bottom w:val="nil"/>
              <w:right w:val="nil"/>
            </w:tcBorders>
            <w:shd w:val="clear" w:color="000000" w:fill="F2F2F2"/>
            <w:vAlign w:val="center"/>
          </w:tcPr>
          <w:p w14:paraId="499CBF47" w14:textId="77777777" w:rsidR="00947EC7" w:rsidRPr="00947EC7" w:rsidRDefault="00947EC7">
            <w:pPr>
              <w:spacing w:after="0" w:line="240" w:lineRule="auto"/>
              <w:jc w:val="both"/>
              <w:rPr>
                <w:rFonts w:ascii="Noto Sans" w:eastAsia="Times New Roman" w:hAnsi="Noto Sans" w:cs="Noto Sans"/>
                <w:color w:val="000000"/>
                <w:sz w:val="15"/>
                <w:szCs w:val="15"/>
                <w:lang w:eastAsia="es-MX"/>
              </w:rPr>
            </w:pPr>
            <w:r w:rsidRPr="00947EC7">
              <w:rPr>
                <w:rFonts w:ascii="Noto Sans" w:eastAsia="Times New Roman" w:hAnsi="Noto Sans" w:cs="Noto Sans"/>
                <w:color w:val="000000"/>
                <w:sz w:val="15"/>
                <w:szCs w:val="15"/>
                <w:lang w:eastAsia="es-MX"/>
              </w:rPr>
              <w:t>Reserva Artículo 302 de la LSS</w:t>
            </w:r>
          </w:p>
        </w:tc>
        <w:tc>
          <w:tcPr>
            <w:tcW w:w="1427" w:type="dxa"/>
            <w:tcBorders>
              <w:top w:val="nil"/>
              <w:left w:val="nil"/>
              <w:bottom w:val="nil"/>
              <w:right w:val="nil"/>
            </w:tcBorders>
            <w:shd w:val="clear" w:color="000000" w:fill="F2F2F2"/>
            <w:vAlign w:val="center"/>
          </w:tcPr>
          <w:p w14:paraId="1D62E55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w:t>
            </w:r>
          </w:p>
        </w:tc>
        <w:tc>
          <w:tcPr>
            <w:tcW w:w="1427" w:type="dxa"/>
            <w:gridSpan w:val="2"/>
            <w:tcBorders>
              <w:top w:val="nil"/>
              <w:left w:val="nil"/>
              <w:bottom w:val="nil"/>
              <w:right w:val="nil"/>
            </w:tcBorders>
            <w:shd w:val="clear" w:color="000000" w:fill="F2F2F2"/>
            <w:vAlign w:val="center"/>
          </w:tcPr>
          <w:p w14:paraId="7605905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 0.0 </w:t>
            </w:r>
          </w:p>
        </w:tc>
        <w:tc>
          <w:tcPr>
            <w:tcW w:w="1451" w:type="dxa"/>
            <w:gridSpan w:val="2"/>
            <w:tcBorders>
              <w:top w:val="nil"/>
              <w:left w:val="nil"/>
              <w:bottom w:val="nil"/>
              <w:right w:val="nil"/>
            </w:tcBorders>
            <w:shd w:val="clear" w:color="000000" w:fill="F2F2F2"/>
            <w:vAlign w:val="center"/>
          </w:tcPr>
          <w:p w14:paraId="4E80952E"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 xml:space="preserve">0.0 </w:t>
            </w:r>
          </w:p>
        </w:tc>
        <w:tc>
          <w:tcPr>
            <w:tcW w:w="1427" w:type="dxa"/>
            <w:gridSpan w:val="2"/>
            <w:tcBorders>
              <w:top w:val="nil"/>
              <w:left w:val="nil"/>
              <w:bottom w:val="nil"/>
              <w:right w:val="nil"/>
            </w:tcBorders>
            <w:shd w:val="clear" w:color="000000" w:fill="F2F2F2"/>
            <w:vAlign w:val="center"/>
          </w:tcPr>
          <w:p w14:paraId="35E7EB8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1.5</w:t>
            </w:r>
          </w:p>
        </w:tc>
        <w:tc>
          <w:tcPr>
            <w:tcW w:w="1427" w:type="dxa"/>
            <w:gridSpan w:val="3"/>
            <w:tcBorders>
              <w:top w:val="nil"/>
              <w:left w:val="nil"/>
              <w:bottom w:val="nil"/>
              <w:right w:val="nil"/>
            </w:tcBorders>
            <w:shd w:val="clear" w:color="000000" w:fill="F2F2F2"/>
            <w:vAlign w:val="center"/>
          </w:tcPr>
          <w:p w14:paraId="1D43E13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7788F333" w14:textId="77777777" w:rsidTr="00947EC7">
        <w:trPr>
          <w:trHeight w:val="283"/>
          <w:jc w:val="center"/>
        </w:trPr>
        <w:tc>
          <w:tcPr>
            <w:tcW w:w="4620" w:type="dxa"/>
            <w:tcBorders>
              <w:top w:val="nil"/>
              <w:left w:val="nil"/>
              <w:bottom w:val="nil"/>
              <w:right w:val="nil"/>
            </w:tcBorders>
            <w:shd w:val="clear" w:color="000000" w:fill="F2F2F2"/>
            <w:vAlign w:val="center"/>
          </w:tcPr>
          <w:p w14:paraId="7743E1CB"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Fondo de Fomento a la Educación (FOFOE)</w:t>
            </w:r>
          </w:p>
        </w:tc>
        <w:tc>
          <w:tcPr>
            <w:tcW w:w="1427" w:type="dxa"/>
            <w:tcBorders>
              <w:top w:val="nil"/>
              <w:left w:val="nil"/>
              <w:bottom w:val="nil"/>
              <w:right w:val="nil"/>
            </w:tcBorders>
            <w:shd w:val="clear" w:color="000000" w:fill="F2F2F2"/>
            <w:vAlign w:val="center"/>
          </w:tcPr>
          <w:p w14:paraId="023A26D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1,387,278,764.1</w:t>
            </w:r>
          </w:p>
        </w:tc>
        <w:tc>
          <w:tcPr>
            <w:tcW w:w="1427" w:type="dxa"/>
            <w:gridSpan w:val="2"/>
            <w:tcBorders>
              <w:top w:val="nil"/>
              <w:left w:val="nil"/>
              <w:bottom w:val="nil"/>
              <w:right w:val="nil"/>
            </w:tcBorders>
            <w:shd w:val="clear" w:color="000000" w:fill="F2F2F2"/>
            <w:vAlign w:val="center"/>
          </w:tcPr>
          <w:p w14:paraId="0BF147A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4256659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07849B8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1,387,278,764.1</w:t>
            </w:r>
          </w:p>
        </w:tc>
        <w:tc>
          <w:tcPr>
            <w:tcW w:w="1427" w:type="dxa"/>
            <w:gridSpan w:val="3"/>
            <w:tcBorders>
              <w:top w:val="nil"/>
              <w:left w:val="nil"/>
              <w:bottom w:val="nil"/>
              <w:right w:val="nil"/>
            </w:tcBorders>
            <w:shd w:val="clear" w:color="000000" w:fill="F2F2F2"/>
            <w:vAlign w:val="center"/>
          </w:tcPr>
          <w:p w14:paraId="0550603F"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2766CFA1" w14:textId="77777777" w:rsidTr="00947EC7">
        <w:trPr>
          <w:trHeight w:val="283"/>
          <w:jc w:val="center"/>
        </w:trPr>
        <w:tc>
          <w:tcPr>
            <w:tcW w:w="4620" w:type="dxa"/>
            <w:tcBorders>
              <w:top w:val="nil"/>
              <w:left w:val="nil"/>
              <w:bottom w:val="nil"/>
              <w:right w:val="nil"/>
            </w:tcBorders>
            <w:shd w:val="clear" w:color="000000" w:fill="F2F2F2"/>
            <w:vAlign w:val="center"/>
          </w:tcPr>
          <w:p w14:paraId="5BE6F312"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Cláusulas 85-89 (C 85-89)</w:t>
            </w:r>
          </w:p>
        </w:tc>
        <w:tc>
          <w:tcPr>
            <w:tcW w:w="1427" w:type="dxa"/>
            <w:tcBorders>
              <w:top w:val="nil"/>
              <w:left w:val="nil"/>
              <w:bottom w:val="nil"/>
              <w:right w:val="nil"/>
            </w:tcBorders>
            <w:shd w:val="clear" w:color="000000" w:fill="F2F2F2"/>
            <w:vAlign w:val="center"/>
          </w:tcPr>
          <w:p w14:paraId="4607EA02"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996,392,130.0</w:t>
            </w:r>
          </w:p>
        </w:tc>
        <w:tc>
          <w:tcPr>
            <w:tcW w:w="1427" w:type="dxa"/>
            <w:gridSpan w:val="2"/>
            <w:tcBorders>
              <w:top w:val="nil"/>
              <w:left w:val="nil"/>
              <w:bottom w:val="nil"/>
              <w:right w:val="nil"/>
            </w:tcBorders>
            <w:shd w:val="clear" w:color="000000" w:fill="F2F2F2"/>
            <w:vAlign w:val="center"/>
          </w:tcPr>
          <w:p w14:paraId="38A91AD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4A780C0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7A71C1BA"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996,392,130.0</w:t>
            </w:r>
          </w:p>
        </w:tc>
        <w:tc>
          <w:tcPr>
            <w:tcW w:w="1427" w:type="dxa"/>
            <w:gridSpan w:val="3"/>
            <w:tcBorders>
              <w:top w:val="nil"/>
              <w:left w:val="nil"/>
              <w:bottom w:val="nil"/>
              <w:right w:val="nil"/>
            </w:tcBorders>
            <w:shd w:val="clear" w:color="000000" w:fill="F2F2F2"/>
            <w:vAlign w:val="center"/>
          </w:tcPr>
          <w:p w14:paraId="7921F953"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6687C31B" w14:textId="77777777" w:rsidTr="00947EC7">
        <w:trPr>
          <w:trHeight w:val="283"/>
          <w:jc w:val="center"/>
        </w:trPr>
        <w:tc>
          <w:tcPr>
            <w:tcW w:w="4620" w:type="dxa"/>
            <w:tcBorders>
              <w:top w:val="nil"/>
              <w:left w:val="nil"/>
              <w:bottom w:val="nil"/>
              <w:right w:val="nil"/>
            </w:tcBorders>
            <w:shd w:val="clear" w:color="000000" w:fill="F2F2F2"/>
            <w:vAlign w:val="center"/>
          </w:tcPr>
          <w:p w14:paraId="2E380B50"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Aportaciones Federales para el Pago de Pensiones (AFPP)</w:t>
            </w:r>
          </w:p>
        </w:tc>
        <w:tc>
          <w:tcPr>
            <w:tcW w:w="1427" w:type="dxa"/>
            <w:tcBorders>
              <w:top w:val="nil"/>
              <w:left w:val="nil"/>
              <w:bottom w:val="nil"/>
              <w:right w:val="nil"/>
            </w:tcBorders>
            <w:shd w:val="clear" w:color="000000" w:fill="F2F2F2"/>
            <w:vAlign w:val="center"/>
          </w:tcPr>
          <w:p w14:paraId="3716BBE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90,542,005.3</w:t>
            </w:r>
          </w:p>
        </w:tc>
        <w:tc>
          <w:tcPr>
            <w:tcW w:w="1427" w:type="dxa"/>
            <w:gridSpan w:val="2"/>
            <w:tcBorders>
              <w:top w:val="nil"/>
              <w:left w:val="nil"/>
              <w:bottom w:val="nil"/>
              <w:right w:val="nil"/>
            </w:tcBorders>
            <w:shd w:val="clear" w:color="000000" w:fill="F2F2F2"/>
            <w:vAlign w:val="center"/>
          </w:tcPr>
          <w:p w14:paraId="7E335D7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13958230"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69B02AE6"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90,542,005.3</w:t>
            </w:r>
          </w:p>
        </w:tc>
        <w:tc>
          <w:tcPr>
            <w:tcW w:w="1427" w:type="dxa"/>
            <w:gridSpan w:val="3"/>
            <w:tcBorders>
              <w:top w:val="nil"/>
              <w:left w:val="nil"/>
              <w:bottom w:val="nil"/>
              <w:right w:val="nil"/>
            </w:tcBorders>
            <w:shd w:val="clear" w:color="000000" w:fill="F2F2F2"/>
            <w:vAlign w:val="center"/>
          </w:tcPr>
          <w:p w14:paraId="266AB3FD"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53CB7512" w14:textId="77777777" w:rsidTr="00947EC7">
        <w:trPr>
          <w:trHeight w:val="283"/>
          <w:jc w:val="center"/>
        </w:trPr>
        <w:tc>
          <w:tcPr>
            <w:tcW w:w="4620" w:type="dxa"/>
            <w:tcBorders>
              <w:top w:val="nil"/>
              <w:left w:val="nil"/>
              <w:bottom w:val="nil"/>
              <w:right w:val="nil"/>
            </w:tcBorders>
            <w:shd w:val="clear" w:color="000000" w:fill="F2F2F2"/>
            <w:vAlign w:val="center"/>
          </w:tcPr>
          <w:p w14:paraId="0154C69E"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del Convenio entre IMSS-Bienestar con el Instituto de Salud para el Bienestar (INSABI)</w:t>
            </w:r>
          </w:p>
        </w:tc>
        <w:tc>
          <w:tcPr>
            <w:tcW w:w="1427" w:type="dxa"/>
            <w:tcBorders>
              <w:top w:val="nil"/>
              <w:left w:val="nil"/>
              <w:bottom w:val="nil"/>
              <w:right w:val="nil"/>
            </w:tcBorders>
            <w:shd w:val="clear" w:color="000000" w:fill="F2F2F2"/>
            <w:vAlign w:val="center"/>
          </w:tcPr>
          <w:p w14:paraId="2C544CC7"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130,667,480.5</w:t>
            </w:r>
          </w:p>
        </w:tc>
        <w:tc>
          <w:tcPr>
            <w:tcW w:w="1427" w:type="dxa"/>
            <w:gridSpan w:val="2"/>
            <w:tcBorders>
              <w:top w:val="nil"/>
              <w:left w:val="nil"/>
              <w:bottom w:val="nil"/>
              <w:right w:val="nil"/>
            </w:tcBorders>
            <w:shd w:val="clear" w:color="000000" w:fill="F2F2F2"/>
            <w:vAlign w:val="center"/>
          </w:tcPr>
          <w:p w14:paraId="39123CA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0BAE515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39723C7C"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130,667,480.5</w:t>
            </w:r>
          </w:p>
        </w:tc>
        <w:tc>
          <w:tcPr>
            <w:tcW w:w="1427" w:type="dxa"/>
            <w:gridSpan w:val="3"/>
            <w:tcBorders>
              <w:top w:val="nil"/>
              <w:left w:val="nil"/>
              <w:bottom w:val="nil"/>
              <w:right w:val="nil"/>
            </w:tcBorders>
            <w:shd w:val="clear" w:color="000000" w:fill="F2F2F2"/>
            <w:vAlign w:val="center"/>
          </w:tcPr>
          <w:p w14:paraId="6E873364"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729111B6" w14:textId="77777777" w:rsidTr="00947EC7">
        <w:trPr>
          <w:trHeight w:val="283"/>
          <w:jc w:val="center"/>
        </w:trPr>
        <w:tc>
          <w:tcPr>
            <w:tcW w:w="4620" w:type="dxa"/>
            <w:tcBorders>
              <w:top w:val="nil"/>
              <w:left w:val="nil"/>
              <w:bottom w:val="nil"/>
              <w:right w:val="nil"/>
            </w:tcBorders>
            <w:shd w:val="clear" w:color="000000" w:fill="F2F2F2"/>
            <w:vAlign w:val="center"/>
          </w:tcPr>
          <w:p w14:paraId="3F570330" w14:textId="77777777" w:rsidR="00947EC7" w:rsidRPr="00947EC7" w:rsidRDefault="00947EC7">
            <w:pPr>
              <w:spacing w:after="0" w:line="240" w:lineRule="auto"/>
              <w:jc w:val="both"/>
              <w:rPr>
                <w:rFonts w:ascii="Noto Sans" w:eastAsia="Times New Roman" w:hAnsi="Noto Sans" w:cs="Noto Sans"/>
                <w:color w:val="000000"/>
                <w:sz w:val="15"/>
                <w:szCs w:val="15"/>
                <w:lang w:val="es-ES" w:eastAsia="es-MX"/>
              </w:rPr>
            </w:pPr>
            <w:r w:rsidRPr="00947EC7">
              <w:rPr>
                <w:rFonts w:ascii="Noto Sans" w:eastAsia="Times New Roman" w:hAnsi="Noto Sans" w:cs="Noto Sans"/>
                <w:color w:val="000000"/>
                <w:sz w:val="15"/>
                <w:szCs w:val="15"/>
                <w:lang w:eastAsia="es-MX"/>
              </w:rPr>
              <w:t>Recursos para ampliar la cobertura de IMSS-Bienestar (BIENESTAR)</w:t>
            </w:r>
          </w:p>
        </w:tc>
        <w:tc>
          <w:tcPr>
            <w:tcW w:w="1427" w:type="dxa"/>
            <w:tcBorders>
              <w:top w:val="nil"/>
              <w:left w:val="nil"/>
              <w:bottom w:val="nil"/>
              <w:right w:val="nil"/>
            </w:tcBorders>
            <w:shd w:val="clear" w:color="000000" w:fill="F2F2F2"/>
            <w:vAlign w:val="center"/>
          </w:tcPr>
          <w:p w14:paraId="08222581"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1.2</w:t>
            </w:r>
          </w:p>
        </w:tc>
        <w:tc>
          <w:tcPr>
            <w:tcW w:w="1427" w:type="dxa"/>
            <w:gridSpan w:val="2"/>
            <w:tcBorders>
              <w:top w:val="nil"/>
              <w:left w:val="nil"/>
              <w:bottom w:val="nil"/>
              <w:right w:val="nil"/>
            </w:tcBorders>
            <w:shd w:val="clear" w:color="000000" w:fill="F2F2F2"/>
            <w:vAlign w:val="center"/>
          </w:tcPr>
          <w:p w14:paraId="210569E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51" w:type="dxa"/>
            <w:gridSpan w:val="2"/>
            <w:tcBorders>
              <w:top w:val="nil"/>
              <w:left w:val="nil"/>
              <w:bottom w:val="nil"/>
              <w:right w:val="nil"/>
            </w:tcBorders>
            <w:shd w:val="clear" w:color="000000" w:fill="F2F2F2"/>
            <w:vAlign w:val="center"/>
          </w:tcPr>
          <w:p w14:paraId="67BCAAEB"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c>
          <w:tcPr>
            <w:tcW w:w="1427" w:type="dxa"/>
            <w:gridSpan w:val="2"/>
            <w:tcBorders>
              <w:top w:val="nil"/>
              <w:left w:val="nil"/>
              <w:bottom w:val="nil"/>
              <w:right w:val="nil"/>
            </w:tcBorders>
            <w:shd w:val="clear" w:color="000000" w:fill="F2F2F2"/>
            <w:vAlign w:val="center"/>
          </w:tcPr>
          <w:p w14:paraId="4BF5D7B5"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1.2</w:t>
            </w:r>
          </w:p>
        </w:tc>
        <w:tc>
          <w:tcPr>
            <w:tcW w:w="1427" w:type="dxa"/>
            <w:gridSpan w:val="3"/>
            <w:tcBorders>
              <w:top w:val="nil"/>
              <w:left w:val="nil"/>
              <w:bottom w:val="nil"/>
              <w:right w:val="nil"/>
            </w:tcBorders>
            <w:shd w:val="clear" w:color="000000" w:fill="F2F2F2"/>
            <w:vAlign w:val="center"/>
          </w:tcPr>
          <w:p w14:paraId="31610888" w14:textId="77777777" w:rsidR="00947EC7" w:rsidRPr="00947EC7" w:rsidRDefault="00947EC7">
            <w:pPr>
              <w:spacing w:after="0" w:line="240" w:lineRule="auto"/>
              <w:jc w:val="right"/>
              <w:rPr>
                <w:rFonts w:ascii="Noto Sans" w:eastAsia="Times New Roman" w:hAnsi="Noto Sans" w:cs="Noto Sans"/>
                <w:color w:val="000000"/>
                <w:sz w:val="15"/>
                <w:szCs w:val="15"/>
                <w:lang w:val="es-ES" w:eastAsia="es-MX"/>
              </w:rPr>
            </w:pPr>
            <w:r w:rsidRPr="00947EC7">
              <w:rPr>
                <w:rFonts w:ascii="Noto Sans" w:hAnsi="Noto Sans" w:cs="Noto Sans"/>
                <w:color w:val="000000"/>
                <w:sz w:val="15"/>
                <w:szCs w:val="15"/>
              </w:rPr>
              <w:t>0.0</w:t>
            </w:r>
          </w:p>
        </w:tc>
      </w:tr>
      <w:tr w:rsidR="00947EC7" w:rsidRPr="00FC0913" w14:paraId="122DBC55" w14:textId="77777777" w:rsidTr="00947EC7">
        <w:trPr>
          <w:trHeight w:val="283"/>
          <w:jc w:val="center"/>
        </w:trPr>
        <w:tc>
          <w:tcPr>
            <w:tcW w:w="4620" w:type="dxa"/>
            <w:tcBorders>
              <w:top w:val="nil"/>
              <w:left w:val="nil"/>
              <w:bottom w:val="nil"/>
              <w:right w:val="nil"/>
            </w:tcBorders>
            <w:shd w:val="clear" w:color="000000" w:fill="F2F2F2"/>
            <w:vAlign w:val="center"/>
          </w:tcPr>
          <w:p w14:paraId="426157D2" w14:textId="77777777" w:rsidR="00947EC7" w:rsidRPr="00947EC7" w:rsidRDefault="00947EC7">
            <w:pPr>
              <w:spacing w:after="0" w:line="240" w:lineRule="auto"/>
              <w:jc w:val="both"/>
              <w:rPr>
                <w:rFonts w:ascii="Noto Sans" w:eastAsia="Times New Roman" w:hAnsi="Noto Sans" w:cs="Noto Sans"/>
                <w:b/>
                <w:bCs/>
                <w:color w:val="000000"/>
                <w:sz w:val="15"/>
                <w:szCs w:val="15"/>
                <w:lang w:val="es-ES"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Recursos administrados a cuenta de Terceros</w:t>
            </w:r>
          </w:p>
        </w:tc>
        <w:tc>
          <w:tcPr>
            <w:tcW w:w="1427" w:type="dxa"/>
            <w:tcBorders>
              <w:top w:val="nil"/>
              <w:left w:val="nil"/>
              <w:bottom w:val="nil"/>
              <w:right w:val="nil"/>
            </w:tcBorders>
            <w:shd w:val="clear" w:color="000000" w:fill="F2F2F2"/>
            <w:vAlign w:val="center"/>
          </w:tcPr>
          <w:p w14:paraId="2B72F1ED"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2,927,542,838.3</w:t>
            </w:r>
          </w:p>
        </w:tc>
        <w:tc>
          <w:tcPr>
            <w:tcW w:w="1427" w:type="dxa"/>
            <w:gridSpan w:val="2"/>
            <w:tcBorders>
              <w:top w:val="nil"/>
              <w:left w:val="nil"/>
              <w:bottom w:val="nil"/>
              <w:right w:val="nil"/>
            </w:tcBorders>
            <w:shd w:val="clear" w:color="000000" w:fill="F2F2F2"/>
            <w:vAlign w:val="center"/>
          </w:tcPr>
          <w:p w14:paraId="73B7D461"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 0.0 </w:t>
            </w:r>
          </w:p>
        </w:tc>
        <w:tc>
          <w:tcPr>
            <w:tcW w:w="1451" w:type="dxa"/>
            <w:gridSpan w:val="2"/>
            <w:tcBorders>
              <w:top w:val="nil"/>
              <w:left w:val="nil"/>
              <w:bottom w:val="nil"/>
              <w:right w:val="nil"/>
            </w:tcBorders>
            <w:shd w:val="clear" w:color="000000" w:fill="F2F2F2"/>
            <w:vAlign w:val="center"/>
          </w:tcPr>
          <w:p w14:paraId="6E5B91C9"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0.0 </w:t>
            </w:r>
          </w:p>
        </w:tc>
        <w:tc>
          <w:tcPr>
            <w:tcW w:w="1427" w:type="dxa"/>
            <w:gridSpan w:val="2"/>
            <w:tcBorders>
              <w:top w:val="nil"/>
              <w:left w:val="nil"/>
              <w:bottom w:val="nil"/>
              <w:right w:val="nil"/>
            </w:tcBorders>
            <w:shd w:val="clear" w:color="000000" w:fill="F2F2F2"/>
            <w:vAlign w:val="center"/>
          </w:tcPr>
          <w:p w14:paraId="49F4B24C"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2,927,542,838.3</w:t>
            </w:r>
          </w:p>
        </w:tc>
        <w:tc>
          <w:tcPr>
            <w:tcW w:w="1427" w:type="dxa"/>
            <w:gridSpan w:val="3"/>
            <w:tcBorders>
              <w:top w:val="nil"/>
              <w:left w:val="nil"/>
              <w:bottom w:val="nil"/>
              <w:right w:val="nil"/>
            </w:tcBorders>
            <w:shd w:val="clear" w:color="000000" w:fill="F2F2F2"/>
            <w:vAlign w:val="center"/>
          </w:tcPr>
          <w:p w14:paraId="4B68E533"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0.0</w:t>
            </w:r>
          </w:p>
        </w:tc>
      </w:tr>
      <w:tr w:rsidR="00947EC7" w:rsidRPr="005946C5" w14:paraId="74A71C8C" w14:textId="77777777" w:rsidTr="00947EC7">
        <w:trPr>
          <w:trHeight w:val="283"/>
          <w:jc w:val="center"/>
        </w:trPr>
        <w:tc>
          <w:tcPr>
            <w:tcW w:w="4620" w:type="dxa"/>
            <w:tcBorders>
              <w:top w:val="nil"/>
              <w:left w:val="nil"/>
              <w:bottom w:val="single" w:sz="12" w:space="0" w:color="A6802D"/>
              <w:right w:val="nil"/>
            </w:tcBorders>
            <w:shd w:val="clear" w:color="000000" w:fill="F2F2F2"/>
            <w:vAlign w:val="center"/>
          </w:tcPr>
          <w:p w14:paraId="7F9EC471" w14:textId="77777777" w:rsidR="00947EC7" w:rsidRPr="00947EC7" w:rsidRDefault="00947EC7">
            <w:pPr>
              <w:spacing w:after="0" w:line="240" w:lineRule="auto"/>
              <w:jc w:val="both"/>
              <w:rPr>
                <w:rFonts w:ascii="Noto Sans" w:eastAsia="Times New Roman" w:hAnsi="Noto Sans" w:cs="Noto Sans"/>
                <w:b/>
                <w:bCs/>
                <w:color w:val="000000"/>
                <w:sz w:val="15"/>
                <w:szCs w:val="15"/>
                <w:lang w:eastAsia="es-MX"/>
              </w:rPr>
            </w:pPr>
            <w:proofErr w:type="gramStart"/>
            <w:r w:rsidRPr="00947EC7">
              <w:rPr>
                <w:rFonts w:ascii="Noto Sans" w:eastAsia="Times New Roman" w:hAnsi="Noto Sans" w:cs="Noto Sans"/>
                <w:b/>
                <w:bCs/>
                <w:color w:val="000000"/>
                <w:sz w:val="15"/>
                <w:szCs w:val="15"/>
                <w:lang w:eastAsia="es-MX"/>
              </w:rPr>
              <w:t>Total</w:t>
            </w:r>
            <w:proofErr w:type="gramEnd"/>
            <w:r w:rsidRPr="00947EC7">
              <w:rPr>
                <w:rFonts w:ascii="Noto Sans" w:eastAsia="Times New Roman" w:hAnsi="Noto Sans" w:cs="Noto Sans"/>
                <w:b/>
                <w:bCs/>
                <w:color w:val="000000"/>
                <w:sz w:val="15"/>
                <w:szCs w:val="15"/>
                <w:lang w:eastAsia="es-MX"/>
              </w:rPr>
              <w:t xml:space="preserve"> Inversiones Financieras</w:t>
            </w:r>
          </w:p>
        </w:tc>
        <w:tc>
          <w:tcPr>
            <w:tcW w:w="1427" w:type="dxa"/>
            <w:tcBorders>
              <w:top w:val="nil"/>
              <w:left w:val="nil"/>
              <w:bottom w:val="single" w:sz="12" w:space="0" w:color="A6802D"/>
              <w:right w:val="nil"/>
            </w:tcBorders>
            <w:shd w:val="clear" w:color="000000" w:fill="F2F2F2"/>
            <w:vAlign w:val="center"/>
          </w:tcPr>
          <w:p w14:paraId="08E332C4"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83,641,777,653.8</w:t>
            </w:r>
          </w:p>
        </w:tc>
        <w:tc>
          <w:tcPr>
            <w:tcW w:w="1427" w:type="dxa"/>
            <w:gridSpan w:val="2"/>
            <w:tcBorders>
              <w:top w:val="nil"/>
              <w:left w:val="nil"/>
              <w:bottom w:val="single" w:sz="12" w:space="0" w:color="A6802D"/>
              <w:right w:val="nil"/>
            </w:tcBorders>
            <w:shd w:val="clear" w:color="000000" w:fill="F2F2F2"/>
            <w:vAlign w:val="center"/>
          </w:tcPr>
          <w:p w14:paraId="0F1F4BAB"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60,243,761,978.3 </w:t>
            </w:r>
          </w:p>
        </w:tc>
        <w:tc>
          <w:tcPr>
            <w:tcW w:w="1451" w:type="dxa"/>
            <w:gridSpan w:val="2"/>
            <w:tcBorders>
              <w:top w:val="nil"/>
              <w:left w:val="nil"/>
              <w:bottom w:val="single" w:sz="12" w:space="0" w:color="A6802D"/>
              <w:right w:val="nil"/>
            </w:tcBorders>
            <w:shd w:val="clear" w:color="000000" w:fill="F2F2F2"/>
            <w:vAlign w:val="center"/>
          </w:tcPr>
          <w:p w14:paraId="3EA69705"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 xml:space="preserve">367,086,450,574.2 </w:t>
            </w:r>
          </w:p>
        </w:tc>
        <w:tc>
          <w:tcPr>
            <w:tcW w:w="1427" w:type="dxa"/>
            <w:gridSpan w:val="2"/>
            <w:tcBorders>
              <w:top w:val="nil"/>
              <w:left w:val="nil"/>
              <w:bottom w:val="single" w:sz="12" w:space="0" w:color="A6802D"/>
              <w:right w:val="nil"/>
            </w:tcBorders>
            <w:shd w:val="clear" w:color="000000" w:fill="F2F2F2"/>
            <w:vAlign w:val="center"/>
          </w:tcPr>
          <w:p w14:paraId="17FC61A0"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510,971,990,206.3</w:t>
            </w:r>
          </w:p>
        </w:tc>
        <w:tc>
          <w:tcPr>
            <w:tcW w:w="1427" w:type="dxa"/>
            <w:gridSpan w:val="3"/>
            <w:tcBorders>
              <w:top w:val="nil"/>
              <w:left w:val="nil"/>
              <w:bottom w:val="single" w:sz="12" w:space="0" w:color="A6802D"/>
              <w:right w:val="nil"/>
            </w:tcBorders>
            <w:shd w:val="clear" w:color="000000" w:fill="F2F2F2"/>
            <w:vAlign w:val="center"/>
          </w:tcPr>
          <w:p w14:paraId="483A038D" w14:textId="77777777" w:rsidR="00947EC7" w:rsidRPr="00947EC7" w:rsidRDefault="00947EC7">
            <w:pPr>
              <w:spacing w:after="0" w:line="240" w:lineRule="auto"/>
              <w:jc w:val="right"/>
              <w:rPr>
                <w:rFonts w:ascii="Noto Sans" w:eastAsia="Times New Roman" w:hAnsi="Noto Sans" w:cs="Noto Sans"/>
                <w:b/>
                <w:bCs/>
                <w:color w:val="000000"/>
                <w:sz w:val="15"/>
                <w:szCs w:val="15"/>
                <w:lang w:val="es-ES" w:eastAsia="es-MX"/>
              </w:rPr>
            </w:pPr>
            <w:r w:rsidRPr="00947EC7">
              <w:rPr>
                <w:rFonts w:ascii="Noto Sans" w:hAnsi="Noto Sans" w:cs="Noto Sans"/>
                <w:b/>
                <w:bCs/>
                <w:color w:val="000000"/>
                <w:sz w:val="15"/>
                <w:szCs w:val="15"/>
              </w:rPr>
              <w:t>463,326,325,039.0</w:t>
            </w:r>
          </w:p>
        </w:tc>
      </w:tr>
      <w:tr w:rsidR="00B16D1A" w:rsidRPr="00274555" w14:paraId="2F96AFC5" w14:textId="77777777" w:rsidTr="00947EC7">
        <w:trPr>
          <w:gridAfter w:val="1"/>
          <w:wAfter w:w="21" w:type="dxa"/>
          <w:trHeight w:val="226"/>
          <w:jc w:val="center"/>
        </w:trPr>
        <w:tc>
          <w:tcPr>
            <w:tcW w:w="4620" w:type="dxa"/>
            <w:tcBorders>
              <w:top w:val="single" w:sz="12" w:space="0" w:color="A6802D"/>
              <w:left w:val="nil"/>
              <w:right w:val="nil"/>
            </w:tcBorders>
            <w:vAlign w:val="center"/>
          </w:tcPr>
          <w:p w14:paraId="49FF2F61" w14:textId="77777777" w:rsidR="00B16D1A" w:rsidRPr="00274555" w:rsidRDefault="00B16D1A"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867" w:type="dxa"/>
            <w:gridSpan w:val="2"/>
            <w:tcBorders>
              <w:top w:val="single" w:sz="12" w:space="0" w:color="A6802D"/>
              <w:left w:val="nil"/>
              <w:right w:val="nil"/>
            </w:tcBorders>
            <w:vAlign w:val="center"/>
          </w:tcPr>
          <w:p w14:paraId="5DC97447" w14:textId="77777777" w:rsidR="00B16D1A" w:rsidRPr="00274555" w:rsidRDefault="00B16D1A" w:rsidP="00B41080">
            <w:pPr>
              <w:spacing w:after="0" w:line="240" w:lineRule="auto"/>
              <w:jc w:val="both"/>
              <w:rPr>
                <w:rFonts w:ascii="Noto Sans" w:eastAsia="Times New Roman" w:hAnsi="Noto Sans" w:cs="Noto Sans"/>
                <w:b/>
                <w:bCs/>
                <w:color w:val="000000"/>
                <w:sz w:val="14"/>
                <w:szCs w:val="14"/>
                <w:lang w:eastAsia="es-MX"/>
              </w:rPr>
            </w:pPr>
          </w:p>
        </w:tc>
        <w:tc>
          <w:tcPr>
            <w:tcW w:w="1895" w:type="dxa"/>
            <w:gridSpan w:val="2"/>
            <w:tcBorders>
              <w:top w:val="single" w:sz="12" w:space="0" w:color="A6802D"/>
              <w:left w:val="nil"/>
              <w:right w:val="nil"/>
            </w:tcBorders>
            <w:vAlign w:val="center"/>
          </w:tcPr>
          <w:p w14:paraId="147EB20B" w14:textId="77777777" w:rsidR="00B16D1A" w:rsidRPr="00274555" w:rsidRDefault="00B16D1A" w:rsidP="00B41080">
            <w:pPr>
              <w:spacing w:after="0" w:line="240" w:lineRule="auto"/>
              <w:jc w:val="both"/>
              <w:rPr>
                <w:rFonts w:ascii="Noto Sans" w:eastAsia="Times New Roman" w:hAnsi="Noto Sans" w:cs="Noto Sans"/>
                <w:b/>
                <w:bCs/>
                <w:color w:val="000000"/>
                <w:sz w:val="14"/>
                <w:szCs w:val="14"/>
                <w:lang w:eastAsia="es-MX"/>
              </w:rPr>
            </w:pPr>
          </w:p>
        </w:tc>
        <w:tc>
          <w:tcPr>
            <w:tcW w:w="1605" w:type="dxa"/>
            <w:gridSpan w:val="2"/>
            <w:tcBorders>
              <w:top w:val="single" w:sz="12" w:space="0" w:color="A6802D"/>
              <w:left w:val="nil"/>
              <w:right w:val="nil"/>
            </w:tcBorders>
            <w:vAlign w:val="center"/>
          </w:tcPr>
          <w:p w14:paraId="5B811933" w14:textId="77777777" w:rsidR="00B16D1A" w:rsidRPr="00274555" w:rsidRDefault="00B16D1A" w:rsidP="0091276E">
            <w:pPr>
              <w:spacing w:after="0" w:line="240" w:lineRule="auto"/>
              <w:jc w:val="center"/>
              <w:rPr>
                <w:rFonts w:ascii="Noto Sans" w:eastAsia="Times New Roman" w:hAnsi="Noto Sans" w:cs="Noto Sans"/>
                <w:b/>
                <w:bCs/>
                <w:color w:val="000000"/>
                <w:sz w:val="14"/>
                <w:szCs w:val="14"/>
                <w:lang w:eastAsia="es-MX"/>
              </w:rPr>
            </w:pPr>
          </w:p>
        </w:tc>
        <w:tc>
          <w:tcPr>
            <w:tcW w:w="1608" w:type="dxa"/>
            <w:gridSpan w:val="2"/>
            <w:tcBorders>
              <w:top w:val="single" w:sz="12" w:space="0" w:color="A6802D"/>
              <w:left w:val="nil"/>
              <w:right w:val="nil"/>
            </w:tcBorders>
            <w:vAlign w:val="center"/>
          </w:tcPr>
          <w:p w14:paraId="02B0A521" w14:textId="77777777" w:rsidR="00B16D1A" w:rsidRPr="00274555" w:rsidRDefault="00B16D1A" w:rsidP="0091276E">
            <w:pPr>
              <w:spacing w:after="0" w:line="240" w:lineRule="auto"/>
              <w:jc w:val="center"/>
              <w:rPr>
                <w:rFonts w:ascii="Noto Sans" w:eastAsia="Times New Roman" w:hAnsi="Noto Sans" w:cs="Noto Sans"/>
                <w:b/>
                <w:bCs/>
                <w:color w:val="000000"/>
                <w:sz w:val="14"/>
                <w:szCs w:val="14"/>
                <w:lang w:eastAsia="es-MX"/>
              </w:rPr>
            </w:pPr>
          </w:p>
        </w:tc>
        <w:tc>
          <w:tcPr>
            <w:tcW w:w="163" w:type="dxa"/>
            <w:tcBorders>
              <w:top w:val="single" w:sz="12" w:space="0" w:color="A6802D"/>
              <w:left w:val="nil"/>
              <w:right w:val="nil"/>
            </w:tcBorders>
            <w:vAlign w:val="center"/>
          </w:tcPr>
          <w:p w14:paraId="4DBB902B" w14:textId="77777777" w:rsidR="00B16D1A" w:rsidRPr="00274555" w:rsidRDefault="00B16D1A" w:rsidP="0091276E">
            <w:pPr>
              <w:spacing w:after="0" w:line="240" w:lineRule="auto"/>
              <w:jc w:val="center"/>
              <w:rPr>
                <w:rFonts w:ascii="Noto Sans" w:eastAsia="Times New Roman" w:hAnsi="Noto Sans" w:cs="Noto Sans"/>
                <w:b/>
                <w:bCs/>
                <w:color w:val="000000"/>
                <w:sz w:val="14"/>
                <w:szCs w:val="14"/>
                <w:lang w:eastAsia="es-MX"/>
              </w:rPr>
            </w:pPr>
          </w:p>
        </w:tc>
      </w:tr>
    </w:tbl>
    <w:p w14:paraId="1C064352" w14:textId="77777777" w:rsidR="00625C16" w:rsidRDefault="00625C16" w:rsidP="00D91328">
      <w:pPr>
        <w:pStyle w:val="TEXTONORMAL"/>
      </w:pPr>
    </w:p>
    <w:p w14:paraId="3FCD1BC1" w14:textId="77777777" w:rsidR="00B87C93" w:rsidRDefault="00B87C93" w:rsidP="00D91328">
      <w:pPr>
        <w:pStyle w:val="TEXTONORMAL"/>
      </w:pPr>
    </w:p>
    <w:p w14:paraId="58EDEB48" w14:textId="77777777" w:rsidR="00B87C93" w:rsidRDefault="00B87C93" w:rsidP="00D91328">
      <w:pPr>
        <w:pStyle w:val="TEXTONORMAL"/>
      </w:pPr>
    </w:p>
    <w:p w14:paraId="465E3EBE" w14:textId="77777777" w:rsidR="00B87C93" w:rsidRDefault="00B87C93" w:rsidP="00D91328">
      <w:pPr>
        <w:pStyle w:val="TEXTONORMAL"/>
      </w:pPr>
    </w:p>
    <w:p w14:paraId="33B3AA58" w14:textId="77777777" w:rsidR="00B87C93" w:rsidRDefault="00B87C93" w:rsidP="00D91328">
      <w:pPr>
        <w:pStyle w:val="TEXTONORMAL"/>
      </w:pPr>
    </w:p>
    <w:p w14:paraId="59F11E2D" w14:textId="3B346E6A" w:rsidR="002F7E6F" w:rsidRDefault="002F7E6F" w:rsidP="002F7E6F">
      <w:pPr>
        <w:pStyle w:val="TEXTONORMAL"/>
      </w:pPr>
      <w:r w:rsidRPr="00A60AAA">
        <w:lastRenderedPageBreak/>
        <w:t xml:space="preserve">Al </w:t>
      </w:r>
      <w:r w:rsidR="00492779" w:rsidRPr="002B3F78">
        <w:rPr>
          <w:rFonts w:cs="Noto Sans"/>
          <w:szCs w:val="18"/>
        </w:rPr>
        <w:t>3</w:t>
      </w:r>
      <w:r w:rsidR="00492779">
        <w:rPr>
          <w:rFonts w:cs="Noto Sans"/>
          <w:szCs w:val="18"/>
        </w:rPr>
        <w:t>0</w:t>
      </w:r>
      <w:r w:rsidR="00492779" w:rsidRPr="002B3F78">
        <w:rPr>
          <w:rFonts w:cs="Noto Sans"/>
          <w:szCs w:val="18"/>
        </w:rPr>
        <w:t xml:space="preserve"> de </w:t>
      </w:r>
      <w:r w:rsidR="00492779">
        <w:rPr>
          <w:rFonts w:cs="Noto Sans"/>
          <w:szCs w:val="18"/>
        </w:rPr>
        <w:t>junio</w:t>
      </w:r>
      <w:r w:rsidR="00492779" w:rsidRPr="002B3F78">
        <w:rPr>
          <w:rFonts w:cs="Noto Sans"/>
          <w:szCs w:val="18"/>
        </w:rPr>
        <w:t xml:space="preserve"> </w:t>
      </w:r>
      <w:r w:rsidR="0084571E" w:rsidRPr="0084571E">
        <w:t>de 2025</w:t>
      </w:r>
      <w:r w:rsidR="0084571E">
        <w:t xml:space="preserve"> y </w:t>
      </w:r>
      <w:r w:rsidRPr="00A60AAA">
        <w:t>31 de diciembre de 202</w:t>
      </w:r>
      <w:r>
        <w:t>4</w:t>
      </w:r>
      <w:r w:rsidRPr="00A60AAA">
        <w:t>, la posición de las inversiones de las reservas y fondo laboral se clasifican de la siguiente manera:</w:t>
      </w:r>
    </w:p>
    <w:p w14:paraId="121F7F3D" w14:textId="77777777" w:rsidR="00B41080" w:rsidRPr="00C855F9" w:rsidRDefault="00B41080" w:rsidP="002F7E6F">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B41080" w:rsidRPr="005946C5" w14:paraId="3B1C9561"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D61074C"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E61DB07"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B41080" w:rsidRPr="005946C5" w14:paraId="77EA6CAB"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529B6B33"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F6C6FE0" w14:textId="6F8E5901" w:rsidR="00B41080" w:rsidRPr="008E629A" w:rsidRDefault="0084571E"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6E0CB0E0" w14:textId="3883A894" w:rsidR="00B41080" w:rsidRPr="008E629A" w:rsidRDefault="0084571E"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163F9A" w:rsidRPr="00FC0913" w14:paraId="72693656" w14:textId="77777777" w:rsidTr="004C72F3">
        <w:trPr>
          <w:trHeight w:val="283"/>
          <w:jc w:val="center"/>
        </w:trPr>
        <w:tc>
          <w:tcPr>
            <w:tcW w:w="5475" w:type="dxa"/>
            <w:tcBorders>
              <w:top w:val="nil"/>
              <w:left w:val="nil"/>
              <w:bottom w:val="nil"/>
              <w:right w:val="nil"/>
            </w:tcBorders>
            <w:shd w:val="clear" w:color="000000" w:fill="F2F2F2"/>
            <w:vAlign w:val="center"/>
          </w:tcPr>
          <w:p w14:paraId="7757E084" w14:textId="77777777" w:rsidR="00163F9A" w:rsidRPr="00B41080" w:rsidRDefault="00163F9A" w:rsidP="00163F9A">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Principal e Interés</w:t>
            </w:r>
          </w:p>
        </w:tc>
        <w:tc>
          <w:tcPr>
            <w:tcW w:w="1960" w:type="dxa"/>
            <w:tcBorders>
              <w:top w:val="nil"/>
              <w:left w:val="nil"/>
              <w:bottom w:val="nil"/>
              <w:right w:val="nil"/>
            </w:tcBorders>
            <w:shd w:val="clear" w:color="000000" w:fill="F2F2F2"/>
            <w:vAlign w:val="center"/>
          </w:tcPr>
          <w:p w14:paraId="014D26A9" w14:textId="5063E598" w:rsidR="00163F9A" w:rsidRPr="00F760E9" w:rsidRDefault="00163F9A" w:rsidP="00163F9A">
            <w:pPr>
              <w:spacing w:after="0" w:line="240" w:lineRule="exact"/>
              <w:jc w:val="right"/>
              <w:rPr>
                <w:rFonts w:ascii="Noto Sans" w:hAnsi="Noto Sans" w:cs="Noto Sans"/>
                <w:sz w:val="15"/>
                <w:szCs w:val="15"/>
              </w:rPr>
            </w:pPr>
            <w:r>
              <w:rPr>
                <w:rFonts w:ascii="Noto Sans" w:hAnsi="Noto Sans" w:cs="Noto Sans"/>
                <w:color w:val="000000"/>
                <w:sz w:val="15"/>
                <w:szCs w:val="15"/>
              </w:rPr>
              <w:t>460,581,058,871.9</w:t>
            </w:r>
          </w:p>
        </w:tc>
        <w:tc>
          <w:tcPr>
            <w:tcW w:w="1961" w:type="dxa"/>
            <w:tcBorders>
              <w:top w:val="nil"/>
              <w:left w:val="nil"/>
              <w:bottom w:val="nil"/>
              <w:right w:val="nil"/>
            </w:tcBorders>
            <w:shd w:val="clear" w:color="000000" w:fill="F2F2F2"/>
            <w:vAlign w:val="center"/>
          </w:tcPr>
          <w:p w14:paraId="07D0DADE" w14:textId="4E8F1ECF" w:rsidR="00163F9A" w:rsidRPr="00B41080" w:rsidRDefault="00163F9A" w:rsidP="00163F9A">
            <w:pPr>
              <w:spacing w:after="0" w:line="240" w:lineRule="exact"/>
              <w:jc w:val="right"/>
              <w:rPr>
                <w:rFonts w:ascii="Noto Sans" w:eastAsia="Times New Roman" w:hAnsi="Noto Sans" w:cs="Noto Sans"/>
                <w:color w:val="000000"/>
                <w:sz w:val="15"/>
                <w:szCs w:val="15"/>
                <w:lang w:eastAsia="es-MX"/>
              </w:rPr>
            </w:pPr>
            <w:r w:rsidRPr="00B41080">
              <w:rPr>
                <w:rFonts w:ascii="Noto Sans" w:hAnsi="Noto Sans" w:cs="Noto Sans"/>
                <w:sz w:val="15"/>
                <w:szCs w:val="15"/>
              </w:rPr>
              <w:t>374,643,405,054.9</w:t>
            </w:r>
          </w:p>
        </w:tc>
      </w:tr>
      <w:tr w:rsidR="00163F9A" w:rsidRPr="00FC0913" w14:paraId="443769EE" w14:textId="77777777" w:rsidTr="004C72F3">
        <w:trPr>
          <w:trHeight w:val="283"/>
          <w:jc w:val="center"/>
        </w:trPr>
        <w:tc>
          <w:tcPr>
            <w:tcW w:w="5475" w:type="dxa"/>
            <w:tcBorders>
              <w:top w:val="nil"/>
              <w:left w:val="nil"/>
              <w:bottom w:val="nil"/>
              <w:right w:val="nil"/>
            </w:tcBorders>
            <w:shd w:val="clear" w:color="000000" w:fill="F2F2F2"/>
            <w:vAlign w:val="center"/>
          </w:tcPr>
          <w:p w14:paraId="495675B8" w14:textId="77777777" w:rsidR="00163F9A" w:rsidRPr="00B41080" w:rsidRDefault="00163F9A" w:rsidP="00163F9A">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o Vender</w:t>
            </w:r>
          </w:p>
        </w:tc>
        <w:tc>
          <w:tcPr>
            <w:tcW w:w="1960" w:type="dxa"/>
            <w:tcBorders>
              <w:top w:val="nil"/>
              <w:left w:val="nil"/>
              <w:bottom w:val="nil"/>
              <w:right w:val="nil"/>
            </w:tcBorders>
            <w:shd w:val="clear" w:color="000000" w:fill="F2F2F2"/>
            <w:vAlign w:val="center"/>
          </w:tcPr>
          <w:p w14:paraId="14EEE871" w14:textId="720DD20C" w:rsidR="00163F9A" w:rsidRPr="00F760E9" w:rsidRDefault="00163F9A" w:rsidP="00163F9A">
            <w:pPr>
              <w:spacing w:after="0" w:line="240" w:lineRule="exact"/>
              <w:jc w:val="right"/>
              <w:rPr>
                <w:rFonts w:ascii="Noto Sans" w:hAnsi="Noto Sans" w:cs="Noto Sans"/>
                <w:sz w:val="15"/>
                <w:szCs w:val="15"/>
              </w:rPr>
            </w:pPr>
            <w:r>
              <w:rPr>
                <w:rFonts w:ascii="Noto Sans" w:hAnsi="Noto Sans" w:cs="Noto Sans"/>
                <w:color w:val="000000"/>
                <w:sz w:val="15"/>
                <w:szCs w:val="15"/>
              </w:rPr>
              <w:t>140,277,806,908.</w:t>
            </w:r>
            <w:r w:rsidR="00A84C4B">
              <w:rPr>
                <w:rFonts w:ascii="Noto Sans" w:hAnsi="Noto Sans" w:cs="Noto Sans"/>
                <w:color w:val="000000"/>
                <w:sz w:val="15"/>
                <w:szCs w:val="15"/>
              </w:rPr>
              <w:t>8</w:t>
            </w:r>
          </w:p>
        </w:tc>
        <w:tc>
          <w:tcPr>
            <w:tcW w:w="1961" w:type="dxa"/>
            <w:tcBorders>
              <w:top w:val="nil"/>
              <w:left w:val="nil"/>
              <w:bottom w:val="nil"/>
              <w:right w:val="nil"/>
            </w:tcBorders>
            <w:shd w:val="clear" w:color="000000" w:fill="F2F2F2"/>
            <w:vAlign w:val="center"/>
          </w:tcPr>
          <w:p w14:paraId="2C57ED4D" w14:textId="39A4FF63" w:rsidR="00163F9A" w:rsidRPr="00B41080" w:rsidRDefault="00163F9A" w:rsidP="00163F9A">
            <w:pPr>
              <w:spacing w:after="0" w:line="240" w:lineRule="exact"/>
              <w:jc w:val="right"/>
              <w:rPr>
                <w:rFonts w:ascii="Noto Sans" w:eastAsia="Times New Roman" w:hAnsi="Noto Sans" w:cs="Noto Sans"/>
                <w:color w:val="000000"/>
                <w:sz w:val="15"/>
                <w:szCs w:val="15"/>
                <w:lang w:eastAsia="es-MX"/>
              </w:rPr>
            </w:pPr>
            <w:r w:rsidRPr="00B41080">
              <w:rPr>
                <w:rFonts w:ascii="Noto Sans" w:hAnsi="Noto Sans" w:cs="Noto Sans"/>
                <w:sz w:val="15"/>
                <w:szCs w:val="15"/>
              </w:rPr>
              <w:t>133,401,042,313.1</w:t>
            </w:r>
          </w:p>
        </w:tc>
      </w:tr>
      <w:tr w:rsidR="00163F9A" w:rsidRPr="005946C5" w14:paraId="2084E387" w14:textId="77777777" w:rsidTr="004C72F3">
        <w:trPr>
          <w:trHeight w:val="283"/>
          <w:jc w:val="center"/>
        </w:trPr>
        <w:tc>
          <w:tcPr>
            <w:tcW w:w="5475" w:type="dxa"/>
            <w:tcBorders>
              <w:top w:val="nil"/>
              <w:left w:val="nil"/>
              <w:bottom w:val="single" w:sz="12" w:space="0" w:color="A6802D"/>
              <w:right w:val="nil"/>
            </w:tcBorders>
            <w:shd w:val="clear" w:color="000000" w:fill="F2F2F2"/>
            <w:vAlign w:val="center"/>
          </w:tcPr>
          <w:p w14:paraId="1CE7A9D4" w14:textId="77777777" w:rsidR="00163F9A" w:rsidRPr="00B41080" w:rsidRDefault="00163F9A" w:rsidP="00163F9A">
            <w:pPr>
              <w:spacing w:after="0" w:line="240" w:lineRule="auto"/>
              <w:rPr>
                <w:rFonts w:ascii="Noto Sans" w:eastAsia="Times New Roman" w:hAnsi="Noto Sans" w:cs="Noto Sans"/>
                <w:b/>
                <w:color w:val="000000"/>
                <w:sz w:val="15"/>
                <w:szCs w:val="15"/>
                <w:lang w:eastAsia="es-MX"/>
              </w:rPr>
            </w:pPr>
            <w:r w:rsidRPr="00B41080">
              <w:rPr>
                <w:rFonts w:ascii="Noto Sans" w:eastAsia="Times New Roman" w:hAnsi="Noto Sans" w:cs="Noto Sans"/>
                <w:b/>
                <w:color w:val="000000"/>
                <w:sz w:val="15"/>
                <w:szCs w:val="15"/>
                <w:lang w:eastAsia="es-MX"/>
              </w:rPr>
              <w:t>Total</w:t>
            </w:r>
          </w:p>
        </w:tc>
        <w:tc>
          <w:tcPr>
            <w:tcW w:w="1960" w:type="dxa"/>
            <w:tcBorders>
              <w:top w:val="nil"/>
              <w:left w:val="nil"/>
              <w:bottom w:val="single" w:sz="12" w:space="0" w:color="A6802D"/>
              <w:right w:val="nil"/>
            </w:tcBorders>
            <w:shd w:val="clear" w:color="000000" w:fill="F2F2F2"/>
            <w:vAlign w:val="center"/>
          </w:tcPr>
          <w:p w14:paraId="7E6ADFBC" w14:textId="0F5E1345" w:rsidR="00163F9A" w:rsidRPr="00F760E9" w:rsidRDefault="00163F9A" w:rsidP="00163F9A">
            <w:pPr>
              <w:spacing w:after="0" w:line="240" w:lineRule="exact"/>
              <w:jc w:val="right"/>
              <w:rPr>
                <w:rFonts w:ascii="Noto Sans" w:hAnsi="Noto Sans" w:cs="Noto Sans"/>
                <w:b/>
                <w:sz w:val="15"/>
                <w:szCs w:val="15"/>
              </w:rPr>
            </w:pPr>
            <w:r>
              <w:rPr>
                <w:rFonts w:ascii="Noto Sans" w:hAnsi="Noto Sans" w:cs="Noto Sans"/>
                <w:b/>
                <w:bCs/>
                <w:color w:val="000000"/>
                <w:sz w:val="15"/>
                <w:szCs w:val="15"/>
              </w:rPr>
              <w:t>600,858,865,780.</w:t>
            </w:r>
            <w:r w:rsidR="00A84C4B">
              <w:rPr>
                <w:rFonts w:ascii="Noto Sans" w:hAnsi="Noto Sans" w:cs="Noto Sans"/>
                <w:b/>
                <w:bCs/>
                <w:color w:val="000000"/>
                <w:sz w:val="15"/>
                <w:szCs w:val="15"/>
              </w:rPr>
              <w:t>7</w:t>
            </w:r>
          </w:p>
        </w:tc>
        <w:tc>
          <w:tcPr>
            <w:tcW w:w="1961" w:type="dxa"/>
            <w:tcBorders>
              <w:top w:val="nil"/>
              <w:left w:val="nil"/>
              <w:bottom w:val="single" w:sz="12" w:space="0" w:color="A6802D"/>
              <w:right w:val="nil"/>
            </w:tcBorders>
            <w:shd w:val="clear" w:color="000000" w:fill="F2F2F2"/>
            <w:vAlign w:val="center"/>
          </w:tcPr>
          <w:p w14:paraId="65163890" w14:textId="63EC7B8A" w:rsidR="00163F9A" w:rsidRPr="00B41080" w:rsidRDefault="00163F9A" w:rsidP="00163F9A">
            <w:pPr>
              <w:spacing w:after="0" w:line="240" w:lineRule="exact"/>
              <w:jc w:val="right"/>
              <w:rPr>
                <w:rFonts w:ascii="Noto Sans" w:eastAsia="Times New Roman" w:hAnsi="Noto Sans" w:cs="Noto Sans"/>
                <w:b/>
                <w:color w:val="000000"/>
                <w:sz w:val="15"/>
                <w:szCs w:val="15"/>
                <w:lang w:eastAsia="es-MX"/>
              </w:rPr>
            </w:pPr>
            <w:r w:rsidRPr="00B41080">
              <w:rPr>
                <w:rFonts w:ascii="Noto Sans" w:hAnsi="Noto Sans" w:cs="Noto Sans"/>
                <w:b/>
                <w:bCs/>
                <w:sz w:val="15"/>
                <w:szCs w:val="15"/>
              </w:rPr>
              <w:t>508,044,447,368.0</w:t>
            </w:r>
          </w:p>
        </w:tc>
      </w:tr>
      <w:tr w:rsidR="00B41080" w:rsidRPr="00274555" w14:paraId="3F1D8E2F" w14:textId="77777777" w:rsidTr="00B41080">
        <w:trPr>
          <w:trHeight w:val="226"/>
          <w:jc w:val="center"/>
        </w:trPr>
        <w:tc>
          <w:tcPr>
            <w:tcW w:w="5475" w:type="dxa"/>
            <w:tcBorders>
              <w:top w:val="single" w:sz="12" w:space="0" w:color="A6802D"/>
              <w:left w:val="nil"/>
              <w:right w:val="nil"/>
            </w:tcBorders>
            <w:vAlign w:val="center"/>
          </w:tcPr>
          <w:p w14:paraId="25196525" w14:textId="77777777" w:rsidR="00B41080" w:rsidRPr="00274555" w:rsidRDefault="00B41080"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5A4A11A2"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669361D8"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r>
    </w:tbl>
    <w:p w14:paraId="6BE47E6F" w14:textId="77777777" w:rsidR="00DF233A" w:rsidRPr="0040729E" w:rsidRDefault="00DF233A" w:rsidP="00D91328">
      <w:pPr>
        <w:pStyle w:val="TEXTONORMAL"/>
      </w:pPr>
    </w:p>
    <w:p w14:paraId="407B4189" w14:textId="3D16103E" w:rsidR="00B41080" w:rsidRDefault="00E35210" w:rsidP="00B41080">
      <w:pPr>
        <w:pStyle w:val="TEXTONORMAL"/>
      </w:pPr>
      <w:r>
        <w:rPr>
          <w:rFonts w:cs="Noto Sans"/>
          <w:szCs w:val="18"/>
        </w:rPr>
        <w:t>A</w:t>
      </w:r>
      <w:r w:rsidRPr="000F4D76">
        <w:rPr>
          <w:rFonts w:cs="Noto Sans"/>
          <w:szCs w:val="18"/>
        </w:rPr>
        <w:t xml:space="preserve">l </w:t>
      </w:r>
      <w:r w:rsidR="00A91BDD" w:rsidRPr="002B3F78">
        <w:rPr>
          <w:rFonts w:cs="Noto Sans"/>
          <w:szCs w:val="18"/>
        </w:rPr>
        <w:t>3</w:t>
      </w:r>
      <w:r w:rsidR="00A91BDD">
        <w:rPr>
          <w:rFonts w:cs="Noto Sans"/>
          <w:szCs w:val="18"/>
        </w:rPr>
        <w:t>0</w:t>
      </w:r>
      <w:r w:rsidR="00A91BDD" w:rsidRPr="002B3F78">
        <w:rPr>
          <w:rFonts w:cs="Noto Sans"/>
          <w:szCs w:val="18"/>
        </w:rPr>
        <w:t xml:space="preserve"> de </w:t>
      </w:r>
      <w:r w:rsidR="00A91BDD">
        <w:rPr>
          <w:rFonts w:cs="Noto Sans"/>
          <w:szCs w:val="18"/>
        </w:rPr>
        <w:t>junio</w:t>
      </w:r>
      <w:r w:rsidR="00A91BDD" w:rsidRPr="002B3F78">
        <w:rPr>
          <w:rFonts w:cs="Noto Sans"/>
          <w:szCs w:val="18"/>
        </w:rPr>
        <w:t xml:space="preserve"> </w:t>
      </w:r>
      <w:r w:rsidRPr="000F4D76">
        <w:rPr>
          <w:rFonts w:cs="Noto Sans"/>
          <w:szCs w:val="18"/>
        </w:rPr>
        <w:t>de 2025 y 31 de diciembre de 202</w:t>
      </w:r>
      <w:r w:rsidR="00E13082">
        <w:rPr>
          <w:rFonts w:cs="Noto Sans"/>
          <w:szCs w:val="18"/>
        </w:rPr>
        <w:t>4</w:t>
      </w:r>
      <w:r w:rsidR="00B41080">
        <w:t xml:space="preserve">, </w:t>
      </w:r>
      <w:r w:rsidR="00B41080" w:rsidRPr="006344F1">
        <w:t>la posición de las inversiones de los Recursos administrados a cuenta de Terceros se clasifica de la siguiente manera:</w:t>
      </w: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B41080" w:rsidRPr="005946C5" w14:paraId="4D443071" w14:textId="77777777" w:rsidTr="00B41080">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38E0B92"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B5EC1F9" w14:textId="77777777" w:rsidR="00B41080" w:rsidRPr="008E629A" w:rsidRDefault="00B41080" w:rsidP="00B4108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4C72F3" w:rsidRPr="005946C5" w14:paraId="77A18033" w14:textId="77777777" w:rsidTr="00B41080">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C0347BA" w14:textId="77777777" w:rsidR="004C72F3" w:rsidRPr="008E629A" w:rsidRDefault="004C72F3" w:rsidP="00B41080">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4E37AE5" w14:textId="02C1EAD3" w:rsidR="004C72F3" w:rsidRPr="008E629A" w:rsidRDefault="004C72F3"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15EE723E" w14:textId="7A850EB3" w:rsidR="004C72F3" w:rsidRPr="008E629A" w:rsidRDefault="004C72F3" w:rsidP="00B410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B1361B" w:rsidRPr="00FC0913" w14:paraId="07285CC7" w14:textId="77777777" w:rsidTr="00995CDD">
        <w:trPr>
          <w:trHeight w:val="283"/>
          <w:jc w:val="center"/>
        </w:trPr>
        <w:tc>
          <w:tcPr>
            <w:tcW w:w="5475" w:type="dxa"/>
            <w:tcBorders>
              <w:top w:val="nil"/>
              <w:left w:val="nil"/>
              <w:bottom w:val="nil"/>
              <w:right w:val="nil"/>
            </w:tcBorders>
            <w:shd w:val="clear" w:color="000000" w:fill="F2F2F2"/>
            <w:vAlign w:val="center"/>
          </w:tcPr>
          <w:p w14:paraId="09C00FE7" w14:textId="77777777" w:rsidR="00B1361B" w:rsidRPr="00B41080" w:rsidRDefault="00B1361B" w:rsidP="00B1361B">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Principal e Interés</w:t>
            </w:r>
          </w:p>
        </w:tc>
        <w:tc>
          <w:tcPr>
            <w:tcW w:w="1960" w:type="dxa"/>
            <w:tcBorders>
              <w:top w:val="nil"/>
              <w:left w:val="nil"/>
              <w:bottom w:val="nil"/>
              <w:right w:val="nil"/>
            </w:tcBorders>
            <w:shd w:val="clear" w:color="000000" w:fill="F2F2F2"/>
            <w:vAlign w:val="center"/>
          </w:tcPr>
          <w:p w14:paraId="282ECFA2" w14:textId="41792A93" w:rsidR="00B1361B" w:rsidRPr="00F760E9" w:rsidRDefault="00B1361B" w:rsidP="00B1361B">
            <w:pPr>
              <w:spacing w:after="0" w:line="240" w:lineRule="exact"/>
              <w:jc w:val="right"/>
              <w:rPr>
                <w:rFonts w:ascii="Noto Sans" w:hAnsi="Noto Sans" w:cs="Noto Sans"/>
                <w:sz w:val="15"/>
                <w:szCs w:val="15"/>
              </w:rPr>
            </w:pPr>
            <w:r>
              <w:rPr>
                <w:rFonts w:ascii="Noto Sans" w:hAnsi="Noto Sans" w:cs="Noto Sans"/>
                <w:color w:val="000000"/>
                <w:sz w:val="15"/>
                <w:szCs w:val="15"/>
              </w:rPr>
              <w:t>2,781,882,021.6</w:t>
            </w:r>
          </w:p>
        </w:tc>
        <w:tc>
          <w:tcPr>
            <w:tcW w:w="1961" w:type="dxa"/>
            <w:tcBorders>
              <w:top w:val="nil"/>
              <w:left w:val="nil"/>
              <w:bottom w:val="nil"/>
              <w:right w:val="nil"/>
            </w:tcBorders>
            <w:shd w:val="clear" w:color="000000" w:fill="F2F2F2"/>
          </w:tcPr>
          <w:p w14:paraId="26E054F7" w14:textId="3E38AD92" w:rsidR="00B1361B" w:rsidRPr="00B41080" w:rsidRDefault="00B1361B" w:rsidP="00B1361B">
            <w:pPr>
              <w:spacing w:after="0" w:line="240" w:lineRule="exact"/>
              <w:jc w:val="right"/>
              <w:rPr>
                <w:rFonts w:ascii="Noto Sans" w:hAnsi="Noto Sans" w:cs="Noto Sans"/>
                <w:sz w:val="15"/>
                <w:szCs w:val="15"/>
              </w:rPr>
            </w:pPr>
            <w:r w:rsidRPr="00B41080">
              <w:rPr>
                <w:rFonts w:ascii="Noto Sans" w:hAnsi="Noto Sans" w:cs="Noto Sans"/>
                <w:sz w:val="15"/>
                <w:szCs w:val="15"/>
              </w:rPr>
              <w:t>2,927,542,836.8</w:t>
            </w:r>
          </w:p>
        </w:tc>
      </w:tr>
      <w:tr w:rsidR="00B1361B" w:rsidRPr="00FC0913" w14:paraId="3A97DD47" w14:textId="77777777" w:rsidTr="00995CDD">
        <w:trPr>
          <w:trHeight w:val="283"/>
          <w:jc w:val="center"/>
        </w:trPr>
        <w:tc>
          <w:tcPr>
            <w:tcW w:w="5475" w:type="dxa"/>
            <w:tcBorders>
              <w:top w:val="nil"/>
              <w:left w:val="nil"/>
              <w:bottom w:val="nil"/>
              <w:right w:val="nil"/>
            </w:tcBorders>
            <w:shd w:val="clear" w:color="000000" w:fill="F2F2F2"/>
            <w:vAlign w:val="center"/>
          </w:tcPr>
          <w:p w14:paraId="327BF7FD" w14:textId="77777777" w:rsidR="00B1361B" w:rsidRPr="00B41080" w:rsidRDefault="00B1361B" w:rsidP="00B1361B">
            <w:pPr>
              <w:spacing w:after="0" w:line="240" w:lineRule="auto"/>
              <w:rPr>
                <w:rFonts w:ascii="Noto Sans" w:eastAsia="Times New Roman" w:hAnsi="Noto Sans" w:cs="Noto Sans"/>
                <w:color w:val="000000"/>
                <w:sz w:val="15"/>
                <w:szCs w:val="15"/>
                <w:lang w:eastAsia="es-MX"/>
              </w:rPr>
            </w:pPr>
            <w:r w:rsidRPr="00B41080">
              <w:rPr>
                <w:rFonts w:ascii="Noto Sans" w:eastAsia="Times New Roman" w:hAnsi="Noto Sans" w:cs="Noto Sans"/>
                <w:color w:val="000000"/>
                <w:sz w:val="15"/>
                <w:szCs w:val="15"/>
                <w:lang w:eastAsia="es-MX"/>
              </w:rPr>
              <w:t>Instrumentos Financieros para Cobrar o Vender</w:t>
            </w:r>
          </w:p>
        </w:tc>
        <w:tc>
          <w:tcPr>
            <w:tcW w:w="1960" w:type="dxa"/>
            <w:tcBorders>
              <w:top w:val="nil"/>
              <w:left w:val="nil"/>
              <w:bottom w:val="nil"/>
              <w:right w:val="nil"/>
            </w:tcBorders>
            <w:shd w:val="clear" w:color="000000" w:fill="F2F2F2"/>
            <w:vAlign w:val="center"/>
          </w:tcPr>
          <w:p w14:paraId="58E57981" w14:textId="1CE6C645" w:rsidR="00B1361B" w:rsidRPr="00F760E9" w:rsidRDefault="00B1361B" w:rsidP="00B1361B">
            <w:pPr>
              <w:spacing w:after="0" w:line="240" w:lineRule="exact"/>
              <w:jc w:val="right"/>
              <w:rPr>
                <w:rFonts w:ascii="Noto Sans" w:hAnsi="Noto Sans" w:cs="Noto Sans"/>
                <w:sz w:val="15"/>
                <w:szCs w:val="15"/>
              </w:rPr>
            </w:pPr>
            <w:r>
              <w:rPr>
                <w:rFonts w:ascii="Montserrat" w:hAnsi="Montserrat" w:cs="Calibri"/>
                <w:color w:val="000000"/>
                <w:sz w:val="15"/>
                <w:szCs w:val="15"/>
              </w:rPr>
              <w:t>1.</w:t>
            </w:r>
            <w:r w:rsidR="00ED6FFC">
              <w:rPr>
                <w:rFonts w:ascii="Montserrat" w:hAnsi="Montserrat" w:cs="Calibri"/>
                <w:color w:val="000000"/>
                <w:sz w:val="15"/>
                <w:szCs w:val="15"/>
              </w:rPr>
              <w:t>3</w:t>
            </w:r>
          </w:p>
        </w:tc>
        <w:tc>
          <w:tcPr>
            <w:tcW w:w="1961" w:type="dxa"/>
            <w:tcBorders>
              <w:top w:val="nil"/>
              <w:left w:val="nil"/>
              <w:bottom w:val="nil"/>
              <w:right w:val="nil"/>
            </w:tcBorders>
            <w:shd w:val="clear" w:color="000000" w:fill="F2F2F2"/>
          </w:tcPr>
          <w:p w14:paraId="76732679" w14:textId="635913A4" w:rsidR="00B1361B" w:rsidRPr="00B41080" w:rsidRDefault="00B1361B" w:rsidP="00B1361B">
            <w:pPr>
              <w:spacing w:after="0" w:line="240" w:lineRule="exact"/>
              <w:jc w:val="right"/>
              <w:rPr>
                <w:rFonts w:ascii="Noto Sans" w:hAnsi="Noto Sans" w:cs="Noto Sans"/>
                <w:sz w:val="15"/>
                <w:szCs w:val="15"/>
              </w:rPr>
            </w:pPr>
            <w:r w:rsidRPr="00B41080">
              <w:rPr>
                <w:rFonts w:ascii="Noto Sans" w:hAnsi="Noto Sans" w:cs="Noto Sans"/>
                <w:sz w:val="15"/>
                <w:szCs w:val="15"/>
              </w:rPr>
              <w:t>1.5</w:t>
            </w:r>
          </w:p>
        </w:tc>
      </w:tr>
      <w:tr w:rsidR="00B1361B" w:rsidRPr="005946C5" w14:paraId="069DEE35" w14:textId="77777777" w:rsidTr="00995CDD">
        <w:trPr>
          <w:trHeight w:val="283"/>
          <w:jc w:val="center"/>
        </w:trPr>
        <w:tc>
          <w:tcPr>
            <w:tcW w:w="5475" w:type="dxa"/>
            <w:tcBorders>
              <w:top w:val="nil"/>
              <w:left w:val="nil"/>
              <w:bottom w:val="single" w:sz="12" w:space="0" w:color="A6802D"/>
              <w:right w:val="nil"/>
            </w:tcBorders>
            <w:shd w:val="clear" w:color="000000" w:fill="F2F2F2"/>
            <w:vAlign w:val="center"/>
          </w:tcPr>
          <w:p w14:paraId="6F10C73B" w14:textId="77777777" w:rsidR="00B1361B" w:rsidRPr="00B41080" w:rsidRDefault="00B1361B" w:rsidP="00B1361B">
            <w:pPr>
              <w:spacing w:after="0" w:line="240" w:lineRule="auto"/>
              <w:rPr>
                <w:rFonts w:ascii="Noto Sans" w:eastAsia="Times New Roman" w:hAnsi="Noto Sans" w:cs="Noto Sans"/>
                <w:b/>
                <w:color w:val="000000"/>
                <w:sz w:val="15"/>
                <w:szCs w:val="15"/>
                <w:lang w:eastAsia="es-MX"/>
              </w:rPr>
            </w:pPr>
            <w:r w:rsidRPr="00B41080">
              <w:rPr>
                <w:rFonts w:ascii="Noto Sans" w:eastAsia="Times New Roman" w:hAnsi="Noto Sans" w:cs="Noto Sans"/>
                <w:b/>
                <w:color w:val="000000"/>
                <w:sz w:val="15"/>
                <w:szCs w:val="15"/>
                <w:lang w:eastAsia="es-MX"/>
              </w:rPr>
              <w:t>Total</w:t>
            </w:r>
          </w:p>
        </w:tc>
        <w:tc>
          <w:tcPr>
            <w:tcW w:w="1960" w:type="dxa"/>
            <w:tcBorders>
              <w:top w:val="nil"/>
              <w:left w:val="nil"/>
              <w:bottom w:val="single" w:sz="12" w:space="0" w:color="A6802D"/>
              <w:right w:val="nil"/>
            </w:tcBorders>
            <w:shd w:val="clear" w:color="000000" w:fill="F2F2F2"/>
            <w:vAlign w:val="center"/>
          </w:tcPr>
          <w:p w14:paraId="71B8057C" w14:textId="5A07C84F" w:rsidR="00B1361B" w:rsidRPr="00F760E9" w:rsidRDefault="00B1361B" w:rsidP="00B1361B">
            <w:pPr>
              <w:spacing w:after="0" w:line="240" w:lineRule="exact"/>
              <w:jc w:val="right"/>
              <w:rPr>
                <w:rFonts w:ascii="Noto Sans" w:hAnsi="Noto Sans" w:cs="Noto Sans"/>
                <w:b/>
                <w:bCs/>
                <w:sz w:val="15"/>
                <w:szCs w:val="15"/>
              </w:rPr>
            </w:pPr>
            <w:r>
              <w:rPr>
                <w:rFonts w:ascii="Noto Sans" w:hAnsi="Noto Sans" w:cs="Noto Sans"/>
                <w:b/>
                <w:bCs/>
                <w:color w:val="000000"/>
                <w:sz w:val="15"/>
                <w:szCs w:val="15"/>
              </w:rPr>
              <w:t>2,781,882,022.9</w:t>
            </w:r>
          </w:p>
        </w:tc>
        <w:tc>
          <w:tcPr>
            <w:tcW w:w="1961" w:type="dxa"/>
            <w:tcBorders>
              <w:top w:val="nil"/>
              <w:left w:val="nil"/>
              <w:bottom w:val="single" w:sz="12" w:space="0" w:color="A6802D"/>
              <w:right w:val="nil"/>
            </w:tcBorders>
            <w:shd w:val="clear" w:color="000000" w:fill="F2F2F2"/>
          </w:tcPr>
          <w:p w14:paraId="3BB76B58" w14:textId="7ABA11EC" w:rsidR="00B1361B" w:rsidRPr="00B41080" w:rsidRDefault="00B1361B" w:rsidP="00B1361B">
            <w:pPr>
              <w:spacing w:after="0" w:line="240" w:lineRule="exact"/>
              <w:jc w:val="right"/>
              <w:rPr>
                <w:rFonts w:ascii="Noto Sans" w:hAnsi="Noto Sans" w:cs="Noto Sans"/>
                <w:b/>
                <w:bCs/>
                <w:sz w:val="15"/>
                <w:szCs w:val="15"/>
              </w:rPr>
            </w:pPr>
            <w:r w:rsidRPr="00B41080">
              <w:rPr>
                <w:rFonts w:ascii="Noto Sans" w:hAnsi="Noto Sans" w:cs="Noto Sans"/>
                <w:b/>
                <w:bCs/>
                <w:sz w:val="15"/>
                <w:szCs w:val="15"/>
              </w:rPr>
              <w:t>2,927,542,838.3</w:t>
            </w:r>
          </w:p>
        </w:tc>
      </w:tr>
      <w:tr w:rsidR="00B41080" w:rsidRPr="00274555" w14:paraId="568A1B22" w14:textId="77777777" w:rsidTr="00B41080">
        <w:trPr>
          <w:trHeight w:val="226"/>
          <w:jc w:val="center"/>
        </w:trPr>
        <w:tc>
          <w:tcPr>
            <w:tcW w:w="5475" w:type="dxa"/>
            <w:tcBorders>
              <w:top w:val="single" w:sz="12" w:space="0" w:color="A6802D"/>
              <w:left w:val="nil"/>
              <w:right w:val="nil"/>
            </w:tcBorders>
            <w:vAlign w:val="center"/>
          </w:tcPr>
          <w:p w14:paraId="73C8158F" w14:textId="77777777" w:rsidR="00B41080" w:rsidRPr="00274555" w:rsidRDefault="00B41080" w:rsidP="00B41080">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5DEFF287"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59380E51" w14:textId="77777777" w:rsidR="00B41080" w:rsidRPr="00274555" w:rsidRDefault="00B41080" w:rsidP="00B41080">
            <w:pPr>
              <w:spacing w:after="0" w:line="240" w:lineRule="auto"/>
              <w:jc w:val="both"/>
              <w:rPr>
                <w:rFonts w:ascii="Noto Sans" w:eastAsia="Times New Roman" w:hAnsi="Noto Sans" w:cs="Noto Sans"/>
                <w:b/>
                <w:bCs/>
                <w:color w:val="000000"/>
                <w:sz w:val="14"/>
                <w:szCs w:val="14"/>
                <w:lang w:eastAsia="es-MX"/>
              </w:rPr>
            </w:pPr>
          </w:p>
        </w:tc>
      </w:tr>
    </w:tbl>
    <w:p w14:paraId="44D3BD48" w14:textId="77777777" w:rsidR="00D211E5" w:rsidRDefault="00D211E5" w:rsidP="00B41080">
      <w:pPr>
        <w:pStyle w:val="TEXTONORMAL"/>
        <w:spacing w:after="0"/>
        <w:rPr>
          <w:rFonts w:cs="Noto Sans"/>
          <w:szCs w:val="18"/>
        </w:rPr>
      </w:pPr>
    </w:p>
    <w:p w14:paraId="56C90D07" w14:textId="77777777" w:rsidR="00D211E5" w:rsidRDefault="00D211E5" w:rsidP="00B41080">
      <w:pPr>
        <w:pStyle w:val="TEXTONORMAL"/>
        <w:spacing w:after="0"/>
        <w:rPr>
          <w:rFonts w:cs="Noto Sans"/>
          <w:szCs w:val="18"/>
        </w:rPr>
      </w:pPr>
    </w:p>
    <w:p w14:paraId="6005DE59" w14:textId="77777777" w:rsidR="00B87C93" w:rsidRDefault="00B87C93" w:rsidP="00B41080">
      <w:pPr>
        <w:pStyle w:val="TEXTONORMAL"/>
        <w:spacing w:after="0"/>
        <w:rPr>
          <w:rFonts w:cs="Noto Sans"/>
          <w:szCs w:val="18"/>
        </w:rPr>
      </w:pPr>
    </w:p>
    <w:p w14:paraId="35BBDF2E" w14:textId="77777777" w:rsidR="00B87C93" w:rsidRDefault="00B87C93" w:rsidP="00B41080">
      <w:pPr>
        <w:pStyle w:val="TEXTONORMAL"/>
        <w:spacing w:after="0"/>
        <w:rPr>
          <w:rFonts w:cs="Noto Sans"/>
          <w:szCs w:val="18"/>
        </w:rPr>
      </w:pPr>
    </w:p>
    <w:p w14:paraId="2100D9ED" w14:textId="77777777" w:rsidR="00B87C93" w:rsidRDefault="00B87C93" w:rsidP="00B41080">
      <w:pPr>
        <w:pStyle w:val="TEXTONORMAL"/>
        <w:spacing w:after="0"/>
        <w:rPr>
          <w:rFonts w:cs="Noto Sans"/>
          <w:szCs w:val="18"/>
        </w:rPr>
      </w:pPr>
    </w:p>
    <w:p w14:paraId="19DD5975" w14:textId="77777777" w:rsidR="00B87C93" w:rsidRDefault="00B87C93" w:rsidP="00B41080">
      <w:pPr>
        <w:pStyle w:val="TEXTONORMAL"/>
        <w:spacing w:after="0"/>
        <w:rPr>
          <w:rFonts w:cs="Noto Sans"/>
          <w:szCs w:val="18"/>
        </w:rPr>
      </w:pPr>
    </w:p>
    <w:p w14:paraId="151EBFF3" w14:textId="77777777" w:rsidR="00B87C93" w:rsidRDefault="00B87C93" w:rsidP="00B41080">
      <w:pPr>
        <w:pStyle w:val="TEXTONORMAL"/>
        <w:spacing w:after="0"/>
        <w:rPr>
          <w:rFonts w:cs="Noto Sans"/>
          <w:szCs w:val="18"/>
        </w:rPr>
      </w:pPr>
    </w:p>
    <w:p w14:paraId="114508F8" w14:textId="77777777" w:rsidR="00B87C93" w:rsidRDefault="00B87C93" w:rsidP="00B41080">
      <w:pPr>
        <w:pStyle w:val="TEXTONORMAL"/>
        <w:spacing w:after="0"/>
        <w:rPr>
          <w:rFonts w:cs="Noto Sans"/>
          <w:szCs w:val="18"/>
        </w:rPr>
      </w:pPr>
    </w:p>
    <w:p w14:paraId="5F65F803" w14:textId="77777777" w:rsidR="00B87C93" w:rsidRDefault="00B87C93" w:rsidP="00B41080">
      <w:pPr>
        <w:pStyle w:val="TEXTONORMAL"/>
        <w:spacing w:after="0"/>
        <w:rPr>
          <w:rFonts w:cs="Noto Sans"/>
          <w:szCs w:val="18"/>
        </w:rPr>
      </w:pPr>
    </w:p>
    <w:p w14:paraId="245CF79F" w14:textId="77777777" w:rsidR="00B87C93" w:rsidRDefault="00B87C93" w:rsidP="00B41080">
      <w:pPr>
        <w:pStyle w:val="TEXTONORMAL"/>
        <w:spacing w:after="0"/>
        <w:rPr>
          <w:rFonts w:cs="Noto Sans"/>
          <w:szCs w:val="18"/>
        </w:rPr>
      </w:pPr>
    </w:p>
    <w:p w14:paraId="5C000CDB" w14:textId="77777777" w:rsidR="00B87C93" w:rsidRDefault="00B87C93" w:rsidP="00B41080">
      <w:pPr>
        <w:pStyle w:val="TEXTONORMAL"/>
        <w:spacing w:after="0"/>
        <w:rPr>
          <w:rFonts w:cs="Noto Sans"/>
          <w:szCs w:val="18"/>
        </w:rPr>
      </w:pPr>
    </w:p>
    <w:p w14:paraId="7DF46374" w14:textId="77777777" w:rsidR="00B87C93" w:rsidRDefault="00B87C93" w:rsidP="00B41080">
      <w:pPr>
        <w:pStyle w:val="TEXTONORMAL"/>
        <w:spacing w:after="0"/>
        <w:rPr>
          <w:rFonts w:cs="Noto Sans"/>
          <w:szCs w:val="18"/>
        </w:rPr>
      </w:pPr>
    </w:p>
    <w:p w14:paraId="23E8167A" w14:textId="77777777" w:rsidR="00B87C93" w:rsidRDefault="00B87C93" w:rsidP="00B41080">
      <w:pPr>
        <w:pStyle w:val="TEXTONORMAL"/>
        <w:spacing w:after="0"/>
        <w:rPr>
          <w:rFonts w:cs="Noto Sans"/>
          <w:szCs w:val="18"/>
        </w:rPr>
      </w:pPr>
    </w:p>
    <w:p w14:paraId="05FFCC6D" w14:textId="77777777" w:rsidR="00B87C93" w:rsidRDefault="00B87C93" w:rsidP="00B41080">
      <w:pPr>
        <w:pStyle w:val="TEXTONORMAL"/>
        <w:spacing w:after="0"/>
        <w:rPr>
          <w:rFonts w:cs="Noto Sans"/>
          <w:szCs w:val="18"/>
        </w:rPr>
      </w:pPr>
    </w:p>
    <w:p w14:paraId="0B98161A" w14:textId="0E511C52" w:rsidR="00B41080" w:rsidRDefault="004C72F3" w:rsidP="00B41080">
      <w:pPr>
        <w:pStyle w:val="TEXTONORMAL"/>
        <w:spacing w:after="0"/>
      </w:pPr>
      <w:r>
        <w:rPr>
          <w:rFonts w:cs="Noto Sans"/>
          <w:szCs w:val="18"/>
        </w:rPr>
        <w:lastRenderedPageBreak/>
        <w:t>A</w:t>
      </w:r>
      <w:r w:rsidRPr="000F4D76">
        <w:rPr>
          <w:rFonts w:cs="Noto Sans"/>
          <w:szCs w:val="18"/>
        </w:rPr>
        <w:t xml:space="preserve">l </w:t>
      </w:r>
      <w:r w:rsidR="00495256" w:rsidRPr="002B3F78">
        <w:rPr>
          <w:rFonts w:cs="Noto Sans"/>
          <w:szCs w:val="18"/>
        </w:rPr>
        <w:t>3</w:t>
      </w:r>
      <w:r w:rsidR="00495256">
        <w:rPr>
          <w:rFonts w:cs="Noto Sans"/>
          <w:szCs w:val="18"/>
        </w:rPr>
        <w:t>0</w:t>
      </w:r>
      <w:r w:rsidR="00495256" w:rsidRPr="002B3F78">
        <w:rPr>
          <w:rFonts w:cs="Noto Sans"/>
          <w:szCs w:val="18"/>
        </w:rPr>
        <w:t xml:space="preserve"> de </w:t>
      </w:r>
      <w:r w:rsidR="00495256">
        <w:rPr>
          <w:rFonts w:cs="Noto Sans"/>
          <w:szCs w:val="18"/>
        </w:rPr>
        <w:t>junio</w:t>
      </w:r>
      <w:r w:rsidR="00495256" w:rsidRPr="002B3F78">
        <w:rPr>
          <w:rFonts w:cs="Noto Sans"/>
          <w:szCs w:val="18"/>
        </w:rPr>
        <w:t xml:space="preserve"> </w:t>
      </w:r>
      <w:r w:rsidRPr="000F4D76">
        <w:rPr>
          <w:rFonts w:cs="Noto Sans"/>
          <w:szCs w:val="18"/>
        </w:rPr>
        <w:t>de 2025 y 31 de diciembre de 2024</w:t>
      </w:r>
      <w:r w:rsidR="00B41080" w:rsidRPr="00282890">
        <w:t xml:space="preserve">, la </w:t>
      </w:r>
      <w:r w:rsidR="00B41080">
        <w:t xml:space="preserve">plusvalía y </w:t>
      </w:r>
      <w:r w:rsidR="00B41080" w:rsidRPr="00282890">
        <w:t xml:space="preserve">minusvalía neta acumulada no realizada de los instrumentos financieros para cobrar o vender de las Reservas y el Fondo Laboral ascendió a </w:t>
      </w:r>
      <w:r w:rsidR="00E9714E">
        <w:t>8,052,087,579.</w:t>
      </w:r>
      <w:r w:rsidR="00A84C4B">
        <w:t>3</w:t>
      </w:r>
      <w:r w:rsidR="00B41080" w:rsidRPr="00B0559B">
        <w:t xml:space="preserve"> pesos y </w:t>
      </w:r>
      <w:r w:rsidR="00E13082" w:rsidRPr="00B0559B">
        <w:t xml:space="preserve">5,012,057,814.5 </w:t>
      </w:r>
      <w:r w:rsidR="00B41080" w:rsidRPr="00B0559B">
        <w:t>pesos, respectivamente</w:t>
      </w:r>
      <w:r w:rsidR="00B41080" w:rsidRPr="00282890">
        <w:t>.</w:t>
      </w:r>
    </w:p>
    <w:p w14:paraId="30B4FCB0" w14:textId="77777777" w:rsidR="00F760E9" w:rsidRDefault="00F760E9" w:rsidP="00B41080">
      <w:pPr>
        <w:pStyle w:val="TEXTONORMAL"/>
        <w:spacing w:after="0"/>
      </w:pPr>
    </w:p>
    <w:p w14:paraId="2A4EAA5B" w14:textId="77777777" w:rsidR="00F760E9" w:rsidRPr="00282890" w:rsidRDefault="00F760E9" w:rsidP="00B41080">
      <w:pPr>
        <w:pStyle w:val="TEXTONORMAL"/>
        <w:spacing w:after="0"/>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F004E" w:rsidRPr="005946C5" w14:paraId="6F623033"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1C5408C" w14:textId="77777777" w:rsidR="003F004E" w:rsidRPr="008E629A" w:rsidRDefault="003F004E"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74A1059" w14:textId="77777777" w:rsidR="003F004E" w:rsidRPr="008E629A" w:rsidRDefault="003F004E"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F004E" w:rsidRPr="005946C5" w14:paraId="3FE9D409"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4DFF6C3" w14:textId="77777777" w:rsidR="003F004E" w:rsidRPr="008E629A" w:rsidRDefault="003F004E"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3F0A4F69" w14:textId="7DDB1131" w:rsidR="003F004E" w:rsidRPr="008E629A" w:rsidRDefault="00E676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09954E4F" w14:textId="4B7554BD" w:rsidR="003F004E" w:rsidRPr="008E629A" w:rsidRDefault="00E676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8E4453" w:rsidRPr="005946C5" w14:paraId="09CE24AA" w14:textId="77777777" w:rsidTr="00947EC7">
        <w:trPr>
          <w:trHeight w:val="283"/>
          <w:jc w:val="center"/>
        </w:trPr>
        <w:tc>
          <w:tcPr>
            <w:tcW w:w="5475" w:type="dxa"/>
            <w:tcBorders>
              <w:top w:val="triple" w:sz="12" w:space="0" w:color="A6802D"/>
              <w:left w:val="nil"/>
              <w:bottom w:val="nil"/>
              <w:right w:val="nil"/>
            </w:tcBorders>
            <w:shd w:val="clear" w:color="000000" w:fill="F2F2F2"/>
            <w:vAlign w:val="center"/>
          </w:tcPr>
          <w:p w14:paraId="087844F9" w14:textId="7ABFB9BA" w:rsidR="008E4453" w:rsidRPr="003F004E" w:rsidRDefault="008E4453" w:rsidP="008E445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Cobertura para Gastos Médicos de Pensionados</w:t>
            </w:r>
          </w:p>
        </w:tc>
        <w:tc>
          <w:tcPr>
            <w:tcW w:w="1960" w:type="dxa"/>
            <w:tcBorders>
              <w:top w:val="triple" w:sz="12" w:space="0" w:color="A6802D"/>
              <w:left w:val="nil"/>
              <w:bottom w:val="nil"/>
              <w:right w:val="nil"/>
            </w:tcBorders>
            <w:shd w:val="clear" w:color="000000" w:fill="F2F2F2"/>
            <w:vAlign w:val="center"/>
          </w:tcPr>
          <w:p w14:paraId="08FAC6EC" w14:textId="4D192793"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211,404,320.5</w:t>
            </w:r>
          </w:p>
        </w:tc>
        <w:tc>
          <w:tcPr>
            <w:tcW w:w="1961" w:type="dxa"/>
            <w:tcBorders>
              <w:top w:val="triple" w:sz="12" w:space="0" w:color="A6802D"/>
              <w:left w:val="nil"/>
              <w:bottom w:val="nil"/>
              <w:right w:val="nil"/>
            </w:tcBorders>
            <w:shd w:val="clear" w:color="000000" w:fill="F2F2F2"/>
            <w:vAlign w:val="center"/>
          </w:tcPr>
          <w:p w14:paraId="17AE03A2" w14:textId="6BCE1507"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267,877,136.5</w:t>
            </w:r>
          </w:p>
        </w:tc>
      </w:tr>
      <w:tr w:rsidR="008E4453" w:rsidRPr="00FC0913" w14:paraId="6D224D79" w14:textId="77777777" w:rsidTr="00947EC7">
        <w:trPr>
          <w:trHeight w:val="283"/>
          <w:jc w:val="center"/>
        </w:trPr>
        <w:tc>
          <w:tcPr>
            <w:tcW w:w="5475" w:type="dxa"/>
            <w:tcBorders>
              <w:top w:val="nil"/>
              <w:left w:val="nil"/>
              <w:bottom w:val="nil"/>
              <w:right w:val="nil"/>
            </w:tcBorders>
            <w:shd w:val="clear" w:color="000000" w:fill="F2F2F2"/>
            <w:vAlign w:val="center"/>
          </w:tcPr>
          <w:p w14:paraId="446133D2" w14:textId="76A994C1" w:rsidR="008E4453" w:rsidRPr="003F004E" w:rsidRDefault="008E4453" w:rsidP="008E445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Enfermedad y Maternidad</w:t>
            </w:r>
          </w:p>
        </w:tc>
        <w:tc>
          <w:tcPr>
            <w:tcW w:w="1960" w:type="dxa"/>
            <w:tcBorders>
              <w:top w:val="nil"/>
              <w:left w:val="nil"/>
              <w:bottom w:val="nil"/>
              <w:right w:val="nil"/>
            </w:tcBorders>
            <w:shd w:val="clear" w:color="000000" w:fill="F2F2F2"/>
            <w:vAlign w:val="center"/>
          </w:tcPr>
          <w:p w14:paraId="600DE39E" w14:textId="59C08087"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-1,900,425,833.5</w:t>
            </w:r>
          </w:p>
        </w:tc>
        <w:tc>
          <w:tcPr>
            <w:tcW w:w="1961" w:type="dxa"/>
            <w:tcBorders>
              <w:top w:val="nil"/>
              <w:left w:val="nil"/>
              <w:bottom w:val="nil"/>
              <w:right w:val="nil"/>
            </w:tcBorders>
            <w:shd w:val="clear" w:color="000000" w:fill="F2F2F2"/>
            <w:vAlign w:val="center"/>
          </w:tcPr>
          <w:p w14:paraId="0FE2068F" w14:textId="231E9948"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-4,943,432,265.9</w:t>
            </w:r>
          </w:p>
        </w:tc>
      </w:tr>
      <w:tr w:rsidR="008E4453" w:rsidRPr="00FC0913" w14:paraId="37162218" w14:textId="77777777" w:rsidTr="00947EC7">
        <w:trPr>
          <w:trHeight w:val="283"/>
          <w:jc w:val="center"/>
        </w:trPr>
        <w:tc>
          <w:tcPr>
            <w:tcW w:w="5475" w:type="dxa"/>
            <w:tcBorders>
              <w:top w:val="nil"/>
              <w:left w:val="nil"/>
              <w:bottom w:val="nil"/>
              <w:right w:val="nil"/>
            </w:tcBorders>
            <w:shd w:val="clear" w:color="000000" w:fill="F2F2F2"/>
            <w:vAlign w:val="center"/>
          </w:tcPr>
          <w:p w14:paraId="58031DA1" w14:textId="42AC2634" w:rsidR="008E4453" w:rsidRPr="003F004E" w:rsidRDefault="008E4453" w:rsidP="008E445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Invalidez y Vida</w:t>
            </w:r>
          </w:p>
        </w:tc>
        <w:tc>
          <w:tcPr>
            <w:tcW w:w="1960" w:type="dxa"/>
            <w:tcBorders>
              <w:top w:val="nil"/>
              <w:left w:val="nil"/>
              <w:bottom w:val="nil"/>
              <w:right w:val="nil"/>
            </w:tcBorders>
            <w:shd w:val="clear" w:color="000000" w:fill="F2F2F2"/>
            <w:vAlign w:val="center"/>
          </w:tcPr>
          <w:p w14:paraId="0A94A14D" w14:textId="77B53DEA"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121,216,262.6</w:t>
            </w:r>
          </w:p>
        </w:tc>
        <w:tc>
          <w:tcPr>
            <w:tcW w:w="1961" w:type="dxa"/>
            <w:tcBorders>
              <w:top w:val="nil"/>
              <w:left w:val="nil"/>
              <w:bottom w:val="nil"/>
              <w:right w:val="nil"/>
            </w:tcBorders>
            <w:shd w:val="clear" w:color="000000" w:fill="F2F2F2"/>
            <w:vAlign w:val="center"/>
          </w:tcPr>
          <w:p w14:paraId="02FCCB76" w14:textId="6F42697D"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-356,445.6</w:t>
            </w:r>
          </w:p>
        </w:tc>
      </w:tr>
      <w:tr w:rsidR="008E4453" w:rsidRPr="00FC0913" w14:paraId="188955AB" w14:textId="77777777" w:rsidTr="00947EC7">
        <w:trPr>
          <w:trHeight w:val="283"/>
          <w:jc w:val="center"/>
        </w:trPr>
        <w:tc>
          <w:tcPr>
            <w:tcW w:w="5475" w:type="dxa"/>
            <w:tcBorders>
              <w:top w:val="nil"/>
              <w:left w:val="nil"/>
              <w:bottom w:val="nil"/>
              <w:right w:val="nil"/>
            </w:tcBorders>
            <w:shd w:val="clear" w:color="000000" w:fill="F2F2F2"/>
            <w:vAlign w:val="center"/>
          </w:tcPr>
          <w:p w14:paraId="6726BD59" w14:textId="6461A0DA" w:rsidR="008E4453" w:rsidRPr="003F004E" w:rsidRDefault="008E4453" w:rsidP="008E445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Guarderías y Prestaciones Sociales</w:t>
            </w:r>
          </w:p>
        </w:tc>
        <w:tc>
          <w:tcPr>
            <w:tcW w:w="1960" w:type="dxa"/>
            <w:tcBorders>
              <w:top w:val="nil"/>
              <w:left w:val="nil"/>
              <w:bottom w:val="nil"/>
              <w:right w:val="nil"/>
            </w:tcBorders>
            <w:shd w:val="clear" w:color="000000" w:fill="F2F2F2"/>
            <w:vAlign w:val="center"/>
          </w:tcPr>
          <w:p w14:paraId="543AECE0" w14:textId="6B72A66E" w:rsidR="008E4453" w:rsidRPr="003F004E" w:rsidRDefault="008E4453" w:rsidP="008E4453">
            <w:pPr>
              <w:spacing w:after="0" w:line="240" w:lineRule="exact"/>
              <w:jc w:val="right"/>
              <w:rPr>
                <w:rFonts w:ascii="Noto Sans" w:hAnsi="Noto Sans" w:cs="Noto Sans"/>
                <w:color w:val="000000"/>
                <w:sz w:val="15"/>
                <w:szCs w:val="15"/>
              </w:rPr>
            </w:pPr>
            <w:r>
              <w:rPr>
                <w:rFonts w:ascii="Noto Sans" w:hAnsi="Noto Sans" w:cs="Noto Sans"/>
                <w:color w:val="000000"/>
                <w:sz w:val="15"/>
                <w:szCs w:val="15"/>
              </w:rPr>
              <w:t>6,174,336.2</w:t>
            </w:r>
          </w:p>
        </w:tc>
        <w:tc>
          <w:tcPr>
            <w:tcW w:w="1961" w:type="dxa"/>
            <w:tcBorders>
              <w:top w:val="nil"/>
              <w:left w:val="nil"/>
              <w:bottom w:val="nil"/>
              <w:right w:val="nil"/>
            </w:tcBorders>
            <w:shd w:val="clear" w:color="000000" w:fill="F2F2F2"/>
            <w:vAlign w:val="center"/>
          </w:tcPr>
          <w:p w14:paraId="739E3CA4" w14:textId="37DBBB3F" w:rsidR="008E4453" w:rsidRPr="003F004E" w:rsidRDefault="008E4453" w:rsidP="008E4453">
            <w:pPr>
              <w:spacing w:after="0" w:line="240" w:lineRule="exact"/>
              <w:jc w:val="right"/>
              <w:rPr>
                <w:rFonts w:ascii="Noto Sans" w:hAnsi="Noto Sans" w:cs="Noto Sans"/>
                <w:sz w:val="15"/>
                <w:szCs w:val="15"/>
              </w:rPr>
            </w:pPr>
            <w:r>
              <w:rPr>
                <w:rFonts w:ascii="Noto Sans" w:hAnsi="Noto Sans" w:cs="Noto Sans"/>
                <w:color w:val="000000"/>
                <w:sz w:val="15"/>
                <w:szCs w:val="15"/>
              </w:rPr>
              <w:t>134,780,152.3</w:t>
            </w:r>
          </w:p>
        </w:tc>
      </w:tr>
      <w:tr w:rsidR="008E4453" w:rsidRPr="00FC0913" w14:paraId="0C33662B" w14:textId="77777777" w:rsidTr="00947EC7">
        <w:trPr>
          <w:trHeight w:val="283"/>
          <w:jc w:val="center"/>
        </w:trPr>
        <w:tc>
          <w:tcPr>
            <w:tcW w:w="5475" w:type="dxa"/>
            <w:tcBorders>
              <w:top w:val="nil"/>
              <w:left w:val="nil"/>
              <w:bottom w:val="nil"/>
              <w:right w:val="nil"/>
            </w:tcBorders>
            <w:shd w:val="clear" w:color="000000" w:fill="F2F2F2"/>
            <w:vAlign w:val="center"/>
          </w:tcPr>
          <w:p w14:paraId="67A83EC9" w14:textId="5B707F21" w:rsidR="008E4453" w:rsidRPr="003F004E" w:rsidRDefault="008E4453" w:rsidP="008E445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para Seguro de Riesgo de Trabajo</w:t>
            </w:r>
          </w:p>
        </w:tc>
        <w:tc>
          <w:tcPr>
            <w:tcW w:w="1960" w:type="dxa"/>
            <w:tcBorders>
              <w:top w:val="nil"/>
              <w:left w:val="nil"/>
              <w:bottom w:val="nil"/>
              <w:right w:val="nil"/>
            </w:tcBorders>
            <w:shd w:val="clear" w:color="000000" w:fill="F2F2F2"/>
            <w:vAlign w:val="center"/>
          </w:tcPr>
          <w:p w14:paraId="3C7D91AB" w14:textId="2DCCA126"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92,531,316.6</w:t>
            </w:r>
          </w:p>
        </w:tc>
        <w:tc>
          <w:tcPr>
            <w:tcW w:w="1961" w:type="dxa"/>
            <w:tcBorders>
              <w:top w:val="nil"/>
              <w:left w:val="nil"/>
              <w:bottom w:val="nil"/>
              <w:right w:val="nil"/>
            </w:tcBorders>
            <w:shd w:val="clear" w:color="000000" w:fill="F2F2F2"/>
            <w:vAlign w:val="center"/>
          </w:tcPr>
          <w:p w14:paraId="384A0F22" w14:textId="05A95E0F"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103,784,137.7</w:t>
            </w:r>
          </w:p>
        </w:tc>
      </w:tr>
      <w:tr w:rsidR="008E4453" w:rsidRPr="00FC0913" w14:paraId="70CB927F" w14:textId="77777777" w:rsidTr="00947EC7">
        <w:trPr>
          <w:trHeight w:val="283"/>
          <w:jc w:val="center"/>
        </w:trPr>
        <w:tc>
          <w:tcPr>
            <w:tcW w:w="5475" w:type="dxa"/>
            <w:tcBorders>
              <w:top w:val="nil"/>
              <w:left w:val="nil"/>
              <w:bottom w:val="nil"/>
              <w:right w:val="nil"/>
            </w:tcBorders>
            <w:shd w:val="clear" w:color="000000" w:fill="F2F2F2"/>
            <w:vAlign w:val="center"/>
          </w:tcPr>
          <w:p w14:paraId="2AE338CB" w14:textId="452D564E" w:rsidR="008E4453" w:rsidRPr="003F004E" w:rsidRDefault="008E4453" w:rsidP="008E445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Retenciones para Jubilaciones y Pensiones Subcuenta 1</w:t>
            </w:r>
          </w:p>
        </w:tc>
        <w:tc>
          <w:tcPr>
            <w:tcW w:w="1960" w:type="dxa"/>
            <w:tcBorders>
              <w:top w:val="nil"/>
              <w:left w:val="nil"/>
              <w:bottom w:val="nil"/>
              <w:right w:val="nil"/>
            </w:tcBorders>
            <w:shd w:val="clear" w:color="000000" w:fill="F2F2F2"/>
            <w:vAlign w:val="center"/>
          </w:tcPr>
          <w:p w14:paraId="6A068DEC" w14:textId="5656B2C8"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339,635,469.7</w:t>
            </w:r>
          </w:p>
        </w:tc>
        <w:tc>
          <w:tcPr>
            <w:tcW w:w="1961" w:type="dxa"/>
            <w:tcBorders>
              <w:top w:val="nil"/>
              <w:left w:val="nil"/>
              <w:bottom w:val="nil"/>
              <w:right w:val="nil"/>
            </w:tcBorders>
            <w:shd w:val="clear" w:color="000000" w:fill="F2F2F2"/>
            <w:vAlign w:val="center"/>
          </w:tcPr>
          <w:p w14:paraId="187F9032" w14:textId="04419456"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-147,351,315.7</w:t>
            </w:r>
          </w:p>
        </w:tc>
      </w:tr>
      <w:tr w:rsidR="008E4453" w:rsidRPr="00FC0913" w14:paraId="3FC5D5A7" w14:textId="77777777" w:rsidTr="00947EC7">
        <w:trPr>
          <w:trHeight w:val="283"/>
          <w:jc w:val="center"/>
        </w:trPr>
        <w:tc>
          <w:tcPr>
            <w:tcW w:w="5475" w:type="dxa"/>
            <w:tcBorders>
              <w:top w:val="nil"/>
              <w:left w:val="nil"/>
              <w:bottom w:val="nil"/>
              <w:right w:val="nil"/>
            </w:tcBorders>
            <w:shd w:val="clear" w:color="000000" w:fill="F2F2F2"/>
            <w:vAlign w:val="center"/>
          </w:tcPr>
          <w:p w14:paraId="4CC00527" w14:textId="6C036753" w:rsidR="008E4453" w:rsidRPr="003F004E" w:rsidRDefault="008E4453" w:rsidP="008E4453">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Retenciones para Jubilaciones y Pensiones Subcuenta 2</w:t>
            </w:r>
          </w:p>
        </w:tc>
        <w:tc>
          <w:tcPr>
            <w:tcW w:w="1960" w:type="dxa"/>
            <w:tcBorders>
              <w:top w:val="nil"/>
              <w:left w:val="nil"/>
              <w:bottom w:val="nil"/>
              <w:right w:val="nil"/>
            </w:tcBorders>
            <w:shd w:val="clear" w:color="000000" w:fill="F2F2F2"/>
            <w:vAlign w:val="center"/>
          </w:tcPr>
          <w:p w14:paraId="7D927C1C" w14:textId="2CD75E95"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9,181,551,707.</w:t>
            </w:r>
            <w:r w:rsidR="00A84C4B">
              <w:rPr>
                <w:rFonts w:ascii="Noto Sans" w:hAnsi="Noto Sans" w:cs="Noto Sans"/>
                <w:color w:val="000000"/>
                <w:sz w:val="15"/>
                <w:szCs w:val="15"/>
              </w:rPr>
              <w:t>2</w:t>
            </w:r>
          </w:p>
        </w:tc>
        <w:tc>
          <w:tcPr>
            <w:tcW w:w="1961" w:type="dxa"/>
            <w:tcBorders>
              <w:top w:val="nil"/>
              <w:left w:val="nil"/>
              <w:bottom w:val="nil"/>
              <w:right w:val="nil"/>
            </w:tcBorders>
            <w:shd w:val="clear" w:color="000000" w:fill="F2F2F2"/>
            <w:vAlign w:val="center"/>
          </w:tcPr>
          <w:p w14:paraId="77B0414B" w14:textId="28CB8167" w:rsidR="008E4453" w:rsidRPr="003F004E" w:rsidRDefault="008E4453" w:rsidP="008E4453">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9,596,756,415.2</w:t>
            </w:r>
          </w:p>
        </w:tc>
      </w:tr>
      <w:tr w:rsidR="008E4453" w:rsidRPr="005946C5" w14:paraId="76B6642B" w14:textId="77777777" w:rsidTr="00947EC7">
        <w:trPr>
          <w:trHeight w:val="283"/>
          <w:jc w:val="center"/>
        </w:trPr>
        <w:tc>
          <w:tcPr>
            <w:tcW w:w="5475" w:type="dxa"/>
            <w:tcBorders>
              <w:top w:val="nil"/>
              <w:left w:val="nil"/>
              <w:bottom w:val="single" w:sz="12" w:space="0" w:color="A6802D"/>
              <w:right w:val="nil"/>
            </w:tcBorders>
            <w:shd w:val="clear" w:color="000000" w:fill="F2F2F2"/>
            <w:vAlign w:val="center"/>
          </w:tcPr>
          <w:p w14:paraId="23A247CE" w14:textId="2B556DDE" w:rsidR="008E4453" w:rsidRPr="003F004E" w:rsidRDefault="008E4453" w:rsidP="008E4453">
            <w:pPr>
              <w:spacing w:after="0" w:line="240" w:lineRule="auto"/>
              <w:rPr>
                <w:rFonts w:ascii="Noto Sans" w:eastAsia="Times New Roman" w:hAnsi="Noto Sans" w:cs="Noto Sans"/>
                <w:b/>
                <w:color w:val="000000"/>
                <w:sz w:val="15"/>
                <w:szCs w:val="15"/>
                <w:lang w:eastAsia="es-MX"/>
              </w:rPr>
            </w:pPr>
            <w:r>
              <w:rPr>
                <w:rFonts w:ascii="Noto Sans" w:hAnsi="Noto Sans" w:cs="Noto Sans"/>
                <w:b/>
                <w:bCs/>
                <w:color w:val="000000"/>
                <w:sz w:val="15"/>
                <w:szCs w:val="15"/>
              </w:rPr>
              <w:t>Total</w:t>
            </w:r>
          </w:p>
        </w:tc>
        <w:tc>
          <w:tcPr>
            <w:tcW w:w="1960" w:type="dxa"/>
            <w:tcBorders>
              <w:top w:val="nil"/>
              <w:left w:val="nil"/>
              <w:bottom w:val="single" w:sz="12" w:space="0" w:color="A6802D"/>
              <w:right w:val="nil"/>
            </w:tcBorders>
            <w:shd w:val="clear" w:color="000000" w:fill="F2F2F2"/>
            <w:vAlign w:val="center"/>
          </w:tcPr>
          <w:p w14:paraId="23A95F09" w14:textId="2E4E3268" w:rsidR="008E4453" w:rsidRPr="003F004E" w:rsidRDefault="008E4453" w:rsidP="008E4453">
            <w:pPr>
              <w:spacing w:after="0" w:line="240" w:lineRule="exact"/>
              <w:jc w:val="right"/>
              <w:rPr>
                <w:rFonts w:ascii="Noto Sans" w:eastAsia="Times New Roman" w:hAnsi="Noto Sans" w:cs="Noto Sans"/>
                <w:b/>
                <w:color w:val="000000"/>
                <w:sz w:val="15"/>
                <w:szCs w:val="15"/>
                <w:lang w:eastAsia="es-MX"/>
              </w:rPr>
            </w:pPr>
            <w:r>
              <w:rPr>
                <w:rFonts w:ascii="Noto Sans" w:hAnsi="Noto Sans" w:cs="Noto Sans"/>
                <w:b/>
                <w:bCs/>
                <w:color w:val="000000"/>
                <w:sz w:val="15"/>
                <w:szCs w:val="15"/>
              </w:rPr>
              <w:t>8,052,087,579.</w:t>
            </w:r>
            <w:r w:rsidR="00A84C4B">
              <w:rPr>
                <w:rFonts w:ascii="Noto Sans" w:hAnsi="Noto Sans" w:cs="Noto Sans"/>
                <w:b/>
                <w:bCs/>
                <w:color w:val="000000"/>
                <w:sz w:val="15"/>
                <w:szCs w:val="15"/>
              </w:rPr>
              <w:t>3</w:t>
            </w:r>
          </w:p>
        </w:tc>
        <w:tc>
          <w:tcPr>
            <w:tcW w:w="1961" w:type="dxa"/>
            <w:tcBorders>
              <w:top w:val="nil"/>
              <w:left w:val="nil"/>
              <w:bottom w:val="single" w:sz="12" w:space="0" w:color="A6802D"/>
              <w:right w:val="nil"/>
            </w:tcBorders>
            <w:shd w:val="clear" w:color="000000" w:fill="F2F2F2"/>
            <w:vAlign w:val="center"/>
          </w:tcPr>
          <w:p w14:paraId="33AFB4C3" w14:textId="4B55327F" w:rsidR="008E4453" w:rsidRPr="003F004E" w:rsidRDefault="008E4453" w:rsidP="008E4453">
            <w:pPr>
              <w:spacing w:after="0" w:line="240" w:lineRule="exact"/>
              <w:jc w:val="right"/>
              <w:rPr>
                <w:rFonts w:ascii="Noto Sans" w:eastAsia="Times New Roman" w:hAnsi="Noto Sans" w:cs="Noto Sans"/>
                <w:b/>
                <w:color w:val="000000"/>
                <w:sz w:val="15"/>
                <w:szCs w:val="15"/>
                <w:lang w:eastAsia="es-MX"/>
              </w:rPr>
            </w:pPr>
            <w:r>
              <w:rPr>
                <w:rFonts w:ascii="Noto Sans" w:hAnsi="Noto Sans" w:cs="Noto Sans"/>
                <w:b/>
                <w:bCs/>
                <w:color w:val="000000"/>
                <w:sz w:val="15"/>
                <w:szCs w:val="15"/>
              </w:rPr>
              <w:t>5,012,057,814.5</w:t>
            </w:r>
          </w:p>
        </w:tc>
      </w:tr>
      <w:tr w:rsidR="003F004E" w:rsidRPr="00274555" w14:paraId="7AE1D27F" w14:textId="77777777" w:rsidTr="00DD31D5">
        <w:trPr>
          <w:trHeight w:val="226"/>
          <w:jc w:val="center"/>
        </w:trPr>
        <w:tc>
          <w:tcPr>
            <w:tcW w:w="5475" w:type="dxa"/>
            <w:tcBorders>
              <w:top w:val="single" w:sz="12" w:space="0" w:color="A6802D"/>
              <w:left w:val="nil"/>
              <w:right w:val="nil"/>
            </w:tcBorders>
            <w:vAlign w:val="center"/>
          </w:tcPr>
          <w:p w14:paraId="4E2DC2D3" w14:textId="77777777" w:rsidR="003F004E" w:rsidRPr="00274555" w:rsidRDefault="003F004E"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4C980692" w14:textId="77777777" w:rsidR="003F004E" w:rsidRPr="00274555" w:rsidRDefault="003F004E"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F40FAC8" w14:textId="77777777" w:rsidR="003F004E" w:rsidRPr="00274555" w:rsidRDefault="003F004E" w:rsidP="00DD31D5">
            <w:pPr>
              <w:spacing w:after="0" w:line="240" w:lineRule="auto"/>
              <w:jc w:val="both"/>
              <w:rPr>
                <w:rFonts w:ascii="Noto Sans" w:eastAsia="Times New Roman" w:hAnsi="Noto Sans" w:cs="Noto Sans"/>
                <w:b/>
                <w:bCs/>
                <w:color w:val="000000"/>
                <w:sz w:val="14"/>
                <w:szCs w:val="14"/>
                <w:lang w:eastAsia="es-MX"/>
              </w:rPr>
            </w:pPr>
          </w:p>
        </w:tc>
      </w:tr>
    </w:tbl>
    <w:p w14:paraId="44555E7A" w14:textId="77777777" w:rsidR="00A35517" w:rsidRDefault="00A35517" w:rsidP="00D91328">
      <w:pPr>
        <w:pStyle w:val="TEXTONORMAL"/>
        <w:tabs>
          <w:tab w:val="left" w:pos="284"/>
        </w:tabs>
        <w:rPr>
          <w:rFonts w:cs="Noto Sans"/>
          <w:szCs w:val="18"/>
        </w:rPr>
      </w:pPr>
    </w:p>
    <w:p w14:paraId="1A165067" w14:textId="1FED5682" w:rsidR="003F004E" w:rsidRDefault="004C72F3" w:rsidP="003F004E">
      <w:pPr>
        <w:pStyle w:val="TEXTONORMAL"/>
      </w:pPr>
      <w:r>
        <w:rPr>
          <w:rFonts w:cs="Noto Sans"/>
          <w:szCs w:val="18"/>
        </w:rPr>
        <w:t>A</w:t>
      </w:r>
      <w:r w:rsidRPr="000F4D76">
        <w:rPr>
          <w:rFonts w:cs="Noto Sans"/>
          <w:szCs w:val="18"/>
        </w:rPr>
        <w:t xml:space="preserve">l </w:t>
      </w:r>
      <w:r w:rsidR="0042391B" w:rsidRPr="002B3F78">
        <w:rPr>
          <w:rFonts w:cs="Noto Sans"/>
          <w:szCs w:val="18"/>
        </w:rPr>
        <w:t>3</w:t>
      </w:r>
      <w:r w:rsidR="0042391B">
        <w:rPr>
          <w:rFonts w:cs="Noto Sans"/>
          <w:szCs w:val="18"/>
        </w:rPr>
        <w:t>0</w:t>
      </w:r>
      <w:r w:rsidR="0042391B" w:rsidRPr="002B3F78">
        <w:rPr>
          <w:rFonts w:cs="Noto Sans"/>
          <w:szCs w:val="18"/>
        </w:rPr>
        <w:t xml:space="preserve"> de </w:t>
      </w:r>
      <w:r w:rsidR="0042391B">
        <w:rPr>
          <w:rFonts w:cs="Noto Sans"/>
          <w:szCs w:val="18"/>
        </w:rPr>
        <w:t>junio</w:t>
      </w:r>
      <w:r w:rsidR="0042391B" w:rsidRPr="002B3F78">
        <w:rPr>
          <w:rFonts w:cs="Noto Sans"/>
          <w:szCs w:val="18"/>
        </w:rPr>
        <w:t xml:space="preserve"> </w:t>
      </w:r>
      <w:r w:rsidRPr="000F4D76">
        <w:rPr>
          <w:rFonts w:cs="Noto Sans"/>
          <w:szCs w:val="18"/>
        </w:rPr>
        <w:t>de 2025 y 31 de diciembre de 2024</w:t>
      </w:r>
      <w:r w:rsidR="003F004E" w:rsidRPr="00FB4BF5">
        <w:t xml:space="preserve">, </w:t>
      </w:r>
      <w:r w:rsidR="003F004E" w:rsidRPr="001C55A3">
        <w:t xml:space="preserve">los </w:t>
      </w:r>
      <w:r w:rsidR="003F004E">
        <w:t>i</w:t>
      </w:r>
      <w:r w:rsidR="003F004E" w:rsidRPr="001C55A3">
        <w:t xml:space="preserve">nstrumentos </w:t>
      </w:r>
      <w:r w:rsidR="003F004E">
        <w:t>f</w:t>
      </w:r>
      <w:r w:rsidR="003F004E" w:rsidRPr="001C55A3">
        <w:t>inancieros</w:t>
      </w:r>
      <w:r w:rsidR="003F004E">
        <w:t xml:space="preserve"> </w:t>
      </w:r>
      <w:r w:rsidR="003F004E" w:rsidRPr="006F4AAF">
        <w:t xml:space="preserve">de las </w:t>
      </w:r>
      <w:r w:rsidR="003F004E">
        <w:t>Reservas y el Fondo Laboral</w:t>
      </w:r>
      <w:r w:rsidR="003F004E" w:rsidRPr="001C55A3">
        <w:t xml:space="preserve"> se</w:t>
      </w:r>
      <w:r w:rsidR="003F004E">
        <w:t xml:space="preserve"> </w:t>
      </w:r>
      <w:r w:rsidR="003F004E" w:rsidRPr="001C55A3">
        <w:t xml:space="preserve">invirtieron </w:t>
      </w:r>
      <w:r w:rsidR="003F004E">
        <w:t>como sigue</w:t>
      </w:r>
      <w:r w:rsidR="003F004E" w:rsidRPr="00FB4BF5">
        <w:t>:</w:t>
      </w:r>
    </w:p>
    <w:p w14:paraId="65175057" w14:textId="77777777" w:rsidR="000D2EC7" w:rsidRDefault="000D2EC7" w:rsidP="003F004E">
      <w:pPr>
        <w:pStyle w:val="TEXTONORMAL"/>
      </w:pPr>
    </w:p>
    <w:tbl>
      <w:tblPr>
        <w:tblW w:w="0" w:type="auto"/>
        <w:jc w:val="center"/>
        <w:tblCellMar>
          <w:left w:w="70" w:type="dxa"/>
          <w:right w:w="70" w:type="dxa"/>
        </w:tblCellMar>
        <w:tblLook w:val="0480" w:firstRow="0" w:lastRow="0" w:firstColumn="1" w:lastColumn="0" w:noHBand="0" w:noVBand="1"/>
      </w:tblPr>
      <w:tblGrid>
        <w:gridCol w:w="4422"/>
        <w:gridCol w:w="1531"/>
        <w:gridCol w:w="1947"/>
        <w:gridCol w:w="34"/>
        <w:gridCol w:w="1914"/>
      </w:tblGrid>
      <w:tr w:rsidR="00D62A30" w:rsidRPr="005946C5" w14:paraId="71C99EAB" w14:textId="77777777" w:rsidTr="00D62A30">
        <w:trPr>
          <w:trHeight w:val="83"/>
          <w:jc w:val="center"/>
        </w:trPr>
        <w:tc>
          <w:tcPr>
            <w:tcW w:w="4422"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A71FA0A"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531" w:type="dxa"/>
            <w:vMerge w:val="restart"/>
            <w:tcBorders>
              <w:top w:val="double" w:sz="12" w:space="0" w:color="A6802D"/>
              <w:left w:val="nil"/>
              <w:right w:val="single" w:sz="12" w:space="0" w:color="FFFFFF" w:themeColor="background1"/>
            </w:tcBorders>
            <w:shd w:val="clear" w:color="auto" w:fill="A6802D"/>
            <w:vAlign w:val="center"/>
          </w:tcPr>
          <w:p w14:paraId="119222B5" w14:textId="77777777" w:rsidR="00D62A30" w:rsidRPr="008E629A" w:rsidRDefault="00D62A30" w:rsidP="00D62A3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3895" w:type="dxa"/>
            <w:gridSpan w:val="3"/>
            <w:tcBorders>
              <w:top w:val="double" w:sz="12" w:space="0" w:color="A6802D"/>
              <w:left w:val="single" w:sz="12" w:space="0" w:color="FFFFFF" w:themeColor="background1"/>
              <w:bottom w:val="single" w:sz="12" w:space="0" w:color="FFFFFF"/>
            </w:tcBorders>
            <w:shd w:val="clear" w:color="auto" w:fill="A6802D"/>
            <w:vAlign w:val="center"/>
            <w:hideMark/>
          </w:tcPr>
          <w:p w14:paraId="2E4A41C3"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62A30" w:rsidRPr="005946C5" w14:paraId="38FA5D88" w14:textId="77777777" w:rsidTr="00D62A30">
        <w:trPr>
          <w:trHeight w:val="28"/>
          <w:jc w:val="center"/>
        </w:trPr>
        <w:tc>
          <w:tcPr>
            <w:tcW w:w="4422" w:type="dxa"/>
            <w:vMerge/>
            <w:tcBorders>
              <w:top w:val="single" w:sz="12" w:space="0" w:color="808080"/>
              <w:left w:val="nil"/>
              <w:bottom w:val="triple" w:sz="12" w:space="0" w:color="A6802D"/>
              <w:right w:val="single" w:sz="12" w:space="0" w:color="FFFFFF"/>
            </w:tcBorders>
            <w:shd w:val="clear" w:color="auto" w:fill="A6802D"/>
            <w:vAlign w:val="center"/>
            <w:hideMark/>
          </w:tcPr>
          <w:p w14:paraId="5ED8F53D"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531" w:type="dxa"/>
            <w:vMerge/>
            <w:tcBorders>
              <w:left w:val="nil"/>
              <w:bottom w:val="triple" w:sz="12" w:space="0" w:color="A6802D"/>
              <w:right w:val="single" w:sz="12" w:space="0" w:color="FFFFFF" w:themeColor="background1"/>
            </w:tcBorders>
            <w:shd w:val="clear" w:color="auto" w:fill="A6802D"/>
          </w:tcPr>
          <w:p w14:paraId="44450D63"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981" w:type="dxa"/>
            <w:gridSpan w:val="2"/>
            <w:tcBorders>
              <w:top w:val="nil"/>
              <w:left w:val="single" w:sz="12" w:space="0" w:color="FFFFFF" w:themeColor="background1"/>
              <w:bottom w:val="triple" w:sz="12" w:space="0" w:color="A6802D"/>
              <w:right w:val="single" w:sz="12" w:space="0" w:color="FFFFFF"/>
            </w:tcBorders>
            <w:shd w:val="clear" w:color="auto" w:fill="A6802D"/>
            <w:vAlign w:val="center"/>
          </w:tcPr>
          <w:p w14:paraId="281F5BD8" w14:textId="47EFED90" w:rsidR="00D62A30"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14" w:type="dxa"/>
            <w:tcBorders>
              <w:top w:val="nil"/>
              <w:left w:val="nil"/>
              <w:bottom w:val="triple" w:sz="12" w:space="0" w:color="A6802D"/>
            </w:tcBorders>
            <w:shd w:val="clear" w:color="auto" w:fill="A6802D"/>
            <w:vAlign w:val="center"/>
          </w:tcPr>
          <w:p w14:paraId="56132EE1" w14:textId="6A593A2A" w:rsidR="00D62A30"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2C5D8E" w:rsidRPr="005946C5" w14:paraId="5DD05063" w14:textId="77777777" w:rsidTr="00947EC7">
        <w:trPr>
          <w:trHeight w:val="283"/>
          <w:jc w:val="center"/>
        </w:trPr>
        <w:tc>
          <w:tcPr>
            <w:tcW w:w="4422" w:type="dxa"/>
            <w:tcBorders>
              <w:top w:val="triple" w:sz="12" w:space="0" w:color="A6802D"/>
              <w:left w:val="nil"/>
              <w:bottom w:val="nil"/>
              <w:right w:val="nil"/>
            </w:tcBorders>
            <w:shd w:val="clear" w:color="000000" w:fill="F2F2F2"/>
            <w:vAlign w:val="center"/>
          </w:tcPr>
          <w:p w14:paraId="77E3048B" w14:textId="14EEC76D"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triple" w:sz="12" w:space="0" w:color="A6802D"/>
              <w:left w:val="nil"/>
              <w:bottom w:val="nil"/>
              <w:right w:val="nil"/>
            </w:tcBorders>
            <w:shd w:val="clear" w:color="000000" w:fill="F2F2F2"/>
            <w:vAlign w:val="center"/>
          </w:tcPr>
          <w:p w14:paraId="5B32360A" w14:textId="79596067"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tasa fija</w:t>
            </w:r>
          </w:p>
        </w:tc>
        <w:tc>
          <w:tcPr>
            <w:tcW w:w="1947" w:type="dxa"/>
            <w:tcBorders>
              <w:top w:val="triple" w:sz="12" w:space="0" w:color="A6802D"/>
              <w:left w:val="nil"/>
              <w:bottom w:val="nil"/>
              <w:right w:val="nil"/>
            </w:tcBorders>
            <w:shd w:val="clear" w:color="000000" w:fill="F2F2F2"/>
            <w:vAlign w:val="center"/>
          </w:tcPr>
          <w:p w14:paraId="30500D0D" w14:textId="484C95CB"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277,520,855,426.1</w:t>
            </w:r>
          </w:p>
        </w:tc>
        <w:tc>
          <w:tcPr>
            <w:tcW w:w="1948" w:type="dxa"/>
            <w:gridSpan w:val="2"/>
            <w:tcBorders>
              <w:top w:val="triple" w:sz="12" w:space="0" w:color="A6802D"/>
              <w:left w:val="nil"/>
              <w:bottom w:val="nil"/>
              <w:right w:val="nil"/>
            </w:tcBorders>
            <w:shd w:val="clear" w:color="000000" w:fill="F2F2F2"/>
            <w:vAlign w:val="center"/>
          </w:tcPr>
          <w:p w14:paraId="0A118963" w14:textId="2113ADC2"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197,270,608,458.4</w:t>
            </w:r>
          </w:p>
        </w:tc>
      </w:tr>
      <w:tr w:rsidR="002C5D8E" w:rsidRPr="00FC0913" w14:paraId="0D005B30" w14:textId="77777777" w:rsidTr="00947EC7">
        <w:trPr>
          <w:trHeight w:val="283"/>
          <w:jc w:val="center"/>
        </w:trPr>
        <w:tc>
          <w:tcPr>
            <w:tcW w:w="4422" w:type="dxa"/>
            <w:tcBorders>
              <w:top w:val="nil"/>
              <w:left w:val="nil"/>
              <w:bottom w:val="nil"/>
              <w:right w:val="nil"/>
            </w:tcBorders>
            <w:shd w:val="clear" w:color="000000" w:fill="F2F2F2"/>
            <w:vAlign w:val="center"/>
          </w:tcPr>
          <w:p w14:paraId="1BA8D35D" w14:textId="43B5AF8A"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nil"/>
              <w:left w:val="nil"/>
              <w:bottom w:val="nil"/>
              <w:right w:val="nil"/>
            </w:tcBorders>
            <w:shd w:val="clear" w:color="000000" w:fill="F2F2F2"/>
            <w:vAlign w:val="center"/>
          </w:tcPr>
          <w:p w14:paraId="36C151C1" w14:textId="4C497F61"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Plazo tasa real </w:t>
            </w:r>
          </w:p>
        </w:tc>
        <w:tc>
          <w:tcPr>
            <w:tcW w:w="1947" w:type="dxa"/>
            <w:tcBorders>
              <w:top w:val="nil"/>
              <w:left w:val="nil"/>
              <w:bottom w:val="nil"/>
              <w:right w:val="nil"/>
            </w:tcBorders>
            <w:shd w:val="clear" w:color="000000" w:fill="F2F2F2"/>
            <w:vAlign w:val="center"/>
          </w:tcPr>
          <w:p w14:paraId="316A3115" w14:textId="6152021C"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146,709,522,249.7</w:t>
            </w:r>
          </w:p>
        </w:tc>
        <w:tc>
          <w:tcPr>
            <w:tcW w:w="1948" w:type="dxa"/>
            <w:gridSpan w:val="2"/>
            <w:tcBorders>
              <w:top w:val="nil"/>
              <w:left w:val="nil"/>
              <w:bottom w:val="nil"/>
              <w:right w:val="nil"/>
            </w:tcBorders>
            <w:shd w:val="clear" w:color="000000" w:fill="F2F2F2"/>
            <w:vAlign w:val="center"/>
          </w:tcPr>
          <w:p w14:paraId="51E9AF8B" w14:textId="651751E1"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128,579,395,758.3</w:t>
            </w:r>
          </w:p>
        </w:tc>
      </w:tr>
      <w:tr w:rsidR="002C5D8E" w:rsidRPr="00FC0913" w14:paraId="66D7C458" w14:textId="77777777" w:rsidTr="00947EC7">
        <w:trPr>
          <w:trHeight w:val="283"/>
          <w:jc w:val="center"/>
        </w:trPr>
        <w:tc>
          <w:tcPr>
            <w:tcW w:w="4422" w:type="dxa"/>
            <w:tcBorders>
              <w:top w:val="nil"/>
              <w:left w:val="nil"/>
              <w:bottom w:val="nil"/>
              <w:right w:val="nil"/>
            </w:tcBorders>
            <w:shd w:val="clear" w:color="000000" w:fill="F2F2F2"/>
            <w:vAlign w:val="center"/>
          </w:tcPr>
          <w:p w14:paraId="61B7054B" w14:textId="6BCBAD1F"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Inversiones en Fondeo</w:t>
            </w:r>
          </w:p>
        </w:tc>
        <w:tc>
          <w:tcPr>
            <w:tcW w:w="1531" w:type="dxa"/>
            <w:tcBorders>
              <w:top w:val="nil"/>
              <w:left w:val="nil"/>
              <w:bottom w:val="nil"/>
              <w:right w:val="nil"/>
            </w:tcBorders>
            <w:shd w:val="clear" w:color="000000" w:fill="F2F2F2"/>
            <w:vAlign w:val="center"/>
          </w:tcPr>
          <w:p w14:paraId="45530BAD" w14:textId="2278BAB0"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a la vista</w:t>
            </w:r>
          </w:p>
        </w:tc>
        <w:tc>
          <w:tcPr>
            <w:tcW w:w="1947" w:type="dxa"/>
            <w:tcBorders>
              <w:top w:val="nil"/>
              <w:left w:val="nil"/>
              <w:bottom w:val="nil"/>
              <w:right w:val="nil"/>
            </w:tcBorders>
            <w:shd w:val="clear" w:color="000000" w:fill="F2F2F2"/>
            <w:vAlign w:val="center"/>
          </w:tcPr>
          <w:p w14:paraId="1DF3C83D" w14:textId="6AEFB23E"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36,329,853,766.8</w:t>
            </w:r>
          </w:p>
        </w:tc>
        <w:tc>
          <w:tcPr>
            <w:tcW w:w="1948" w:type="dxa"/>
            <w:gridSpan w:val="2"/>
            <w:tcBorders>
              <w:top w:val="nil"/>
              <w:left w:val="nil"/>
              <w:bottom w:val="nil"/>
              <w:right w:val="nil"/>
            </w:tcBorders>
            <w:shd w:val="clear" w:color="000000" w:fill="F2F2F2"/>
            <w:vAlign w:val="center"/>
          </w:tcPr>
          <w:p w14:paraId="2C557E37" w14:textId="0D43FBD5"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45,913,412,883.0</w:t>
            </w:r>
          </w:p>
        </w:tc>
      </w:tr>
      <w:tr w:rsidR="002C5D8E" w:rsidRPr="00FC0913" w14:paraId="774C161E" w14:textId="77777777" w:rsidTr="00947EC7">
        <w:trPr>
          <w:trHeight w:val="283"/>
          <w:jc w:val="center"/>
        </w:trPr>
        <w:tc>
          <w:tcPr>
            <w:tcW w:w="4422" w:type="dxa"/>
            <w:tcBorders>
              <w:top w:val="nil"/>
              <w:left w:val="nil"/>
              <w:bottom w:val="nil"/>
              <w:right w:val="nil"/>
            </w:tcBorders>
            <w:shd w:val="clear" w:color="000000" w:fill="F2F2F2"/>
            <w:vAlign w:val="center"/>
          </w:tcPr>
          <w:p w14:paraId="7E943EEE" w14:textId="7C579BC4"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nil"/>
              <w:left w:val="nil"/>
              <w:bottom w:val="nil"/>
              <w:right w:val="nil"/>
            </w:tcBorders>
            <w:shd w:val="clear" w:color="000000" w:fill="F2F2F2"/>
            <w:vAlign w:val="center"/>
          </w:tcPr>
          <w:p w14:paraId="183F1DEF" w14:textId="36F7FBC6"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tasa revisable</w:t>
            </w:r>
          </w:p>
        </w:tc>
        <w:tc>
          <w:tcPr>
            <w:tcW w:w="1947" w:type="dxa"/>
            <w:tcBorders>
              <w:top w:val="nil"/>
              <w:left w:val="nil"/>
              <w:bottom w:val="nil"/>
              <w:right w:val="nil"/>
            </w:tcBorders>
            <w:shd w:val="clear" w:color="000000" w:fill="F2F2F2"/>
            <w:vAlign w:val="center"/>
          </w:tcPr>
          <w:p w14:paraId="486C1BD6" w14:textId="7950B28B"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49,005,129,856.7</w:t>
            </w:r>
          </w:p>
        </w:tc>
        <w:tc>
          <w:tcPr>
            <w:tcW w:w="1948" w:type="dxa"/>
            <w:gridSpan w:val="2"/>
            <w:tcBorders>
              <w:top w:val="nil"/>
              <w:left w:val="nil"/>
              <w:bottom w:val="nil"/>
              <w:right w:val="nil"/>
            </w:tcBorders>
            <w:shd w:val="clear" w:color="000000" w:fill="F2F2F2"/>
            <w:vAlign w:val="center"/>
          </w:tcPr>
          <w:p w14:paraId="7674BB8D" w14:textId="5E687966"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47,739,303,348.7</w:t>
            </w:r>
          </w:p>
        </w:tc>
      </w:tr>
      <w:tr w:rsidR="002C5D8E" w:rsidRPr="00FC0913" w14:paraId="0A363A61" w14:textId="77777777" w:rsidTr="00947EC7">
        <w:trPr>
          <w:trHeight w:val="283"/>
          <w:jc w:val="center"/>
        </w:trPr>
        <w:tc>
          <w:tcPr>
            <w:tcW w:w="4422" w:type="dxa"/>
            <w:tcBorders>
              <w:top w:val="nil"/>
              <w:left w:val="nil"/>
              <w:bottom w:val="nil"/>
              <w:right w:val="nil"/>
            </w:tcBorders>
            <w:shd w:val="clear" w:color="000000" w:fill="F2F2F2"/>
            <w:vAlign w:val="center"/>
          </w:tcPr>
          <w:p w14:paraId="3CF96D84" w14:textId="2D955269" w:rsidR="002C5D8E" w:rsidRPr="00D62A30" w:rsidRDefault="002C5D8E" w:rsidP="002C5D8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Mercado Accionario</w:t>
            </w:r>
          </w:p>
        </w:tc>
        <w:tc>
          <w:tcPr>
            <w:tcW w:w="1531" w:type="dxa"/>
            <w:tcBorders>
              <w:top w:val="nil"/>
              <w:left w:val="nil"/>
              <w:bottom w:val="nil"/>
              <w:right w:val="nil"/>
            </w:tcBorders>
            <w:shd w:val="clear" w:color="000000" w:fill="F2F2F2"/>
            <w:vAlign w:val="center"/>
          </w:tcPr>
          <w:p w14:paraId="47EB3B17" w14:textId="54875BF0"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nil"/>
              <w:right w:val="nil"/>
            </w:tcBorders>
            <w:shd w:val="clear" w:color="000000" w:fill="F2F2F2"/>
            <w:vAlign w:val="center"/>
          </w:tcPr>
          <w:p w14:paraId="2646CEE7" w14:textId="1A81EF4D"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52,608,429,172.9</w:t>
            </w:r>
          </w:p>
        </w:tc>
        <w:tc>
          <w:tcPr>
            <w:tcW w:w="1948" w:type="dxa"/>
            <w:gridSpan w:val="2"/>
            <w:tcBorders>
              <w:top w:val="nil"/>
              <w:left w:val="nil"/>
              <w:bottom w:val="nil"/>
              <w:right w:val="nil"/>
            </w:tcBorders>
            <w:shd w:val="clear" w:color="000000" w:fill="F2F2F2"/>
            <w:vAlign w:val="center"/>
          </w:tcPr>
          <w:p w14:paraId="057C3CD4" w14:textId="7A6A1092"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53,935,089,920.3</w:t>
            </w:r>
          </w:p>
        </w:tc>
      </w:tr>
      <w:tr w:rsidR="002C5D8E" w:rsidRPr="00FC0913" w14:paraId="099C9D4A" w14:textId="77777777" w:rsidTr="00947EC7">
        <w:trPr>
          <w:trHeight w:val="283"/>
          <w:jc w:val="center"/>
        </w:trPr>
        <w:tc>
          <w:tcPr>
            <w:tcW w:w="4422" w:type="dxa"/>
            <w:tcBorders>
              <w:top w:val="nil"/>
              <w:left w:val="nil"/>
              <w:bottom w:val="nil"/>
              <w:right w:val="nil"/>
            </w:tcBorders>
            <w:shd w:val="clear" w:color="000000" w:fill="F2F2F2"/>
            <w:vAlign w:val="center"/>
          </w:tcPr>
          <w:p w14:paraId="5D6A58E7" w14:textId="7CE8842B"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Intereses Devengados No Cobrados</w:t>
            </w:r>
          </w:p>
        </w:tc>
        <w:tc>
          <w:tcPr>
            <w:tcW w:w="1531" w:type="dxa"/>
            <w:tcBorders>
              <w:top w:val="nil"/>
              <w:left w:val="nil"/>
              <w:bottom w:val="nil"/>
              <w:right w:val="nil"/>
            </w:tcBorders>
            <w:shd w:val="clear" w:color="000000" w:fill="F2F2F2"/>
            <w:vAlign w:val="center"/>
          </w:tcPr>
          <w:p w14:paraId="53E18290" w14:textId="7F23532A" w:rsidR="002C5D8E" w:rsidRPr="00D62A30" w:rsidRDefault="002C5D8E" w:rsidP="002C5D8E">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nil"/>
              <w:right w:val="nil"/>
            </w:tcBorders>
            <w:shd w:val="clear" w:color="000000" w:fill="F2F2F2"/>
            <w:vAlign w:val="center"/>
          </w:tcPr>
          <w:p w14:paraId="0D5AB6B1" w14:textId="07060F64"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38,685,075,308.</w:t>
            </w:r>
            <w:r w:rsidR="00311B76">
              <w:rPr>
                <w:rFonts w:ascii="Noto Sans" w:hAnsi="Noto Sans" w:cs="Noto Sans"/>
                <w:color w:val="000000"/>
                <w:sz w:val="15"/>
                <w:szCs w:val="15"/>
              </w:rPr>
              <w:t>5</w:t>
            </w:r>
          </w:p>
        </w:tc>
        <w:tc>
          <w:tcPr>
            <w:tcW w:w="1948" w:type="dxa"/>
            <w:gridSpan w:val="2"/>
            <w:tcBorders>
              <w:top w:val="nil"/>
              <w:left w:val="nil"/>
              <w:bottom w:val="nil"/>
              <w:right w:val="nil"/>
            </w:tcBorders>
            <w:shd w:val="clear" w:color="000000" w:fill="F2F2F2"/>
            <w:vAlign w:val="center"/>
          </w:tcPr>
          <w:p w14:paraId="6C1F58C0" w14:textId="71A9C1E2"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34,606,636,999.3</w:t>
            </w:r>
          </w:p>
        </w:tc>
      </w:tr>
      <w:tr w:rsidR="002C5D8E" w:rsidRPr="005946C5" w14:paraId="2745E40F" w14:textId="77777777" w:rsidTr="00947EC7">
        <w:trPr>
          <w:trHeight w:val="283"/>
          <w:jc w:val="center"/>
        </w:trPr>
        <w:tc>
          <w:tcPr>
            <w:tcW w:w="4422" w:type="dxa"/>
            <w:tcBorders>
              <w:top w:val="nil"/>
              <w:left w:val="nil"/>
              <w:bottom w:val="single" w:sz="12" w:space="0" w:color="A6802D"/>
              <w:right w:val="nil"/>
            </w:tcBorders>
            <w:shd w:val="clear" w:color="000000" w:fill="F2F2F2"/>
            <w:vAlign w:val="center"/>
          </w:tcPr>
          <w:p w14:paraId="584AC3C6" w14:textId="7D6918A7" w:rsidR="002C5D8E" w:rsidRPr="00D62A30" w:rsidRDefault="002C5D8E" w:rsidP="002C5D8E">
            <w:pPr>
              <w:spacing w:after="0" w:line="240" w:lineRule="exac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Total</w:t>
            </w:r>
          </w:p>
        </w:tc>
        <w:tc>
          <w:tcPr>
            <w:tcW w:w="1531" w:type="dxa"/>
            <w:tcBorders>
              <w:top w:val="nil"/>
              <w:left w:val="nil"/>
              <w:bottom w:val="single" w:sz="12" w:space="0" w:color="A6802D"/>
              <w:right w:val="nil"/>
            </w:tcBorders>
            <w:shd w:val="clear" w:color="000000" w:fill="F2F2F2"/>
            <w:vAlign w:val="center"/>
          </w:tcPr>
          <w:p w14:paraId="47455CFE" w14:textId="43E3C072" w:rsidR="002C5D8E" w:rsidRPr="00D62A30" w:rsidRDefault="002C5D8E" w:rsidP="002C5D8E">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single" w:sz="12" w:space="0" w:color="A6802D"/>
              <w:right w:val="nil"/>
            </w:tcBorders>
            <w:shd w:val="clear" w:color="000000" w:fill="F2F2F2"/>
            <w:vAlign w:val="center"/>
          </w:tcPr>
          <w:p w14:paraId="4B0D62DA" w14:textId="2478D832" w:rsidR="00311B76" w:rsidRPr="00D62A30" w:rsidRDefault="002C5D8E" w:rsidP="00311B76">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600,858,865,780.</w:t>
            </w:r>
            <w:r w:rsidR="00311B76">
              <w:rPr>
                <w:rFonts w:ascii="Noto Sans" w:hAnsi="Noto Sans" w:cs="Noto Sans"/>
                <w:b/>
                <w:bCs/>
                <w:color w:val="000000"/>
                <w:sz w:val="15"/>
                <w:szCs w:val="15"/>
              </w:rPr>
              <w:t>7</w:t>
            </w:r>
          </w:p>
        </w:tc>
        <w:tc>
          <w:tcPr>
            <w:tcW w:w="1948" w:type="dxa"/>
            <w:gridSpan w:val="2"/>
            <w:tcBorders>
              <w:top w:val="nil"/>
              <w:left w:val="nil"/>
              <w:bottom w:val="single" w:sz="12" w:space="0" w:color="A6802D"/>
              <w:right w:val="nil"/>
            </w:tcBorders>
            <w:shd w:val="clear" w:color="000000" w:fill="F2F2F2"/>
            <w:vAlign w:val="center"/>
          </w:tcPr>
          <w:p w14:paraId="5B961238" w14:textId="21CDC237" w:rsidR="002C5D8E" w:rsidRPr="00D62A30" w:rsidRDefault="002C5D8E" w:rsidP="002C5D8E">
            <w:pPr>
              <w:spacing w:after="0" w:line="240" w:lineRule="exact"/>
              <w:jc w:val="right"/>
              <w:rPr>
                <w:rFonts w:ascii="Noto Sans" w:eastAsia="Times New Roman" w:hAnsi="Noto Sans" w:cs="Noto Sans"/>
                <w:color w:val="000000"/>
                <w:sz w:val="15"/>
                <w:szCs w:val="15"/>
                <w:lang w:eastAsia="es-MX"/>
              </w:rPr>
            </w:pPr>
            <w:r>
              <w:rPr>
                <w:rFonts w:ascii="Noto Sans" w:hAnsi="Noto Sans" w:cs="Noto Sans"/>
                <w:b/>
                <w:bCs/>
                <w:color w:val="000000"/>
                <w:sz w:val="15"/>
                <w:szCs w:val="15"/>
              </w:rPr>
              <w:t>508,044,447,368.0</w:t>
            </w:r>
          </w:p>
        </w:tc>
      </w:tr>
      <w:tr w:rsidR="000D2EC7" w:rsidRPr="00274555" w14:paraId="2B8405B7" w14:textId="77777777" w:rsidTr="00D62A30">
        <w:trPr>
          <w:trHeight w:val="226"/>
          <w:jc w:val="center"/>
        </w:trPr>
        <w:tc>
          <w:tcPr>
            <w:tcW w:w="4422" w:type="dxa"/>
            <w:tcBorders>
              <w:top w:val="single" w:sz="12" w:space="0" w:color="A6802D"/>
              <w:left w:val="nil"/>
              <w:right w:val="nil"/>
            </w:tcBorders>
            <w:vAlign w:val="center"/>
          </w:tcPr>
          <w:p w14:paraId="3F4AD4A3" w14:textId="77777777" w:rsidR="000D2EC7" w:rsidRPr="00274555" w:rsidRDefault="000D2EC7"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531" w:type="dxa"/>
            <w:tcBorders>
              <w:top w:val="single" w:sz="12" w:space="0" w:color="A6802D"/>
              <w:left w:val="nil"/>
              <w:right w:val="nil"/>
            </w:tcBorders>
          </w:tcPr>
          <w:p w14:paraId="34CC4C1B" w14:textId="77777777" w:rsidR="000D2EC7" w:rsidRPr="00274555" w:rsidRDefault="000D2EC7" w:rsidP="00DD31D5">
            <w:pPr>
              <w:spacing w:after="0" w:line="240" w:lineRule="auto"/>
              <w:jc w:val="both"/>
              <w:rPr>
                <w:rFonts w:ascii="Noto Sans" w:eastAsia="Times New Roman" w:hAnsi="Noto Sans" w:cs="Noto Sans"/>
                <w:b/>
                <w:bCs/>
                <w:color w:val="000000"/>
                <w:sz w:val="14"/>
                <w:szCs w:val="14"/>
                <w:lang w:eastAsia="es-MX"/>
              </w:rPr>
            </w:pPr>
          </w:p>
        </w:tc>
        <w:tc>
          <w:tcPr>
            <w:tcW w:w="1947" w:type="dxa"/>
            <w:tcBorders>
              <w:top w:val="single" w:sz="12" w:space="0" w:color="A6802D"/>
              <w:left w:val="nil"/>
              <w:right w:val="nil"/>
            </w:tcBorders>
            <w:vAlign w:val="center"/>
          </w:tcPr>
          <w:p w14:paraId="1C9067F3" w14:textId="77777777" w:rsidR="000D2EC7" w:rsidRPr="00274555" w:rsidRDefault="000D2EC7" w:rsidP="00DD31D5">
            <w:pPr>
              <w:spacing w:after="0" w:line="240" w:lineRule="auto"/>
              <w:jc w:val="both"/>
              <w:rPr>
                <w:rFonts w:ascii="Noto Sans" w:eastAsia="Times New Roman" w:hAnsi="Noto Sans" w:cs="Noto Sans"/>
                <w:b/>
                <w:bCs/>
                <w:color w:val="000000"/>
                <w:sz w:val="14"/>
                <w:szCs w:val="14"/>
                <w:lang w:eastAsia="es-MX"/>
              </w:rPr>
            </w:pPr>
          </w:p>
        </w:tc>
        <w:tc>
          <w:tcPr>
            <w:tcW w:w="1948" w:type="dxa"/>
            <w:gridSpan w:val="2"/>
            <w:tcBorders>
              <w:top w:val="single" w:sz="12" w:space="0" w:color="A6802D"/>
              <w:left w:val="nil"/>
              <w:right w:val="nil"/>
            </w:tcBorders>
            <w:vAlign w:val="center"/>
          </w:tcPr>
          <w:p w14:paraId="6AF09B55" w14:textId="77777777" w:rsidR="000D2EC7" w:rsidRPr="00274555" w:rsidRDefault="000D2EC7" w:rsidP="00DD31D5">
            <w:pPr>
              <w:spacing w:after="0" w:line="240" w:lineRule="auto"/>
              <w:jc w:val="both"/>
              <w:rPr>
                <w:rFonts w:ascii="Noto Sans" w:eastAsia="Times New Roman" w:hAnsi="Noto Sans" w:cs="Noto Sans"/>
                <w:b/>
                <w:bCs/>
                <w:color w:val="000000"/>
                <w:sz w:val="14"/>
                <w:szCs w:val="14"/>
                <w:lang w:eastAsia="es-MX"/>
              </w:rPr>
            </w:pPr>
          </w:p>
        </w:tc>
      </w:tr>
    </w:tbl>
    <w:p w14:paraId="02DBFE73" w14:textId="77777777" w:rsidR="00947EC7" w:rsidRDefault="00947EC7" w:rsidP="003F004E">
      <w:pPr>
        <w:pStyle w:val="TEXTONORMAL"/>
      </w:pPr>
    </w:p>
    <w:p w14:paraId="4CBD2166" w14:textId="77777777" w:rsidR="003F004E" w:rsidRPr="00FB4BF5" w:rsidRDefault="003F004E" w:rsidP="003F004E">
      <w:pPr>
        <w:pStyle w:val="TEXTONORMAL"/>
      </w:pPr>
      <w:r w:rsidRPr="00A90D1F">
        <w:lastRenderedPageBreak/>
        <w:t>Las inversiones de la tabla anterior incluyen instrumentos financieros del mercado de deuda como títulos gubernamentales, corporativos, bancarios, cuasi gubernamentales y bursatilizaciones; así como del mercado de capitales e inversiones tercerizadas (Mandatos de Inversión).</w:t>
      </w:r>
    </w:p>
    <w:p w14:paraId="0EB71290" w14:textId="028D0E5A" w:rsidR="003F004E" w:rsidRDefault="004C72F3" w:rsidP="003F004E">
      <w:pPr>
        <w:pStyle w:val="TEXTONORMAL"/>
        <w:spacing w:after="0" w:line="240" w:lineRule="auto"/>
      </w:pPr>
      <w:r>
        <w:rPr>
          <w:rFonts w:cs="Noto Sans"/>
          <w:szCs w:val="18"/>
        </w:rPr>
        <w:t>A</w:t>
      </w:r>
      <w:r w:rsidRPr="000F4D76">
        <w:rPr>
          <w:rFonts w:cs="Noto Sans"/>
          <w:szCs w:val="18"/>
        </w:rPr>
        <w:t xml:space="preserve">l </w:t>
      </w:r>
      <w:r w:rsidR="000D6611" w:rsidRPr="002B3F78">
        <w:rPr>
          <w:rFonts w:cs="Noto Sans"/>
          <w:szCs w:val="18"/>
        </w:rPr>
        <w:t>3</w:t>
      </w:r>
      <w:r w:rsidR="000D6611">
        <w:rPr>
          <w:rFonts w:cs="Noto Sans"/>
          <w:szCs w:val="18"/>
        </w:rPr>
        <w:t>0</w:t>
      </w:r>
      <w:r w:rsidR="000D6611" w:rsidRPr="002B3F78">
        <w:rPr>
          <w:rFonts w:cs="Noto Sans"/>
          <w:szCs w:val="18"/>
        </w:rPr>
        <w:t xml:space="preserve"> de </w:t>
      </w:r>
      <w:r w:rsidR="000D6611">
        <w:rPr>
          <w:rFonts w:cs="Noto Sans"/>
          <w:szCs w:val="18"/>
        </w:rPr>
        <w:t>junio</w:t>
      </w:r>
      <w:r w:rsidR="000D6611" w:rsidRPr="002B3F78">
        <w:rPr>
          <w:rFonts w:cs="Noto Sans"/>
          <w:szCs w:val="18"/>
        </w:rPr>
        <w:t xml:space="preserve"> </w:t>
      </w:r>
      <w:r w:rsidRPr="000F4D76">
        <w:rPr>
          <w:rFonts w:cs="Noto Sans"/>
          <w:szCs w:val="18"/>
        </w:rPr>
        <w:t>de 2025 y 31 de diciembre de 2024</w:t>
      </w:r>
      <w:r w:rsidR="003F004E" w:rsidRPr="00DB4B60">
        <w:t>, los instrumentos financieros de los Recursos administrados a cuenta de Terceros se invirtieron como sigue</w:t>
      </w:r>
      <w:r w:rsidR="003F004E">
        <w:t>:</w:t>
      </w:r>
    </w:p>
    <w:p w14:paraId="204FD3E3" w14:textId="77777777" w:rsidR="003F004E" w:rsidRDefault="003F004E" w:rsidP="003F004E">
      <w:pPr>
        <w:pStyle w:val="TEXTONORMAL"/>
        <w:spacing w:after="0" w:line="240" w:lineRule="auto"/>
      </w:pPr>
    </w:p>
    <w:tbl>
      <w:tblPr>
        <w:tblW w:w="0" w:type="auto"/>
        <w:jc w:val="center"/>
        <w:tblCellMar>
          <w:left w:w="70" w:type="dxa"/>
          <w:right w:w="70" w:type="dxa"/>
        </w:tblCellMar>
        <w:tblLook w:val="0480" w:firstRow="0" w:lastRow="0" w:firstColumn="1" w:lastColumn="0" w:noHBand="0" w:noVBand="1"/>
      </w:tblPr>
      <w:tblGrid>
        <w:gridCol w:w="4422"/>
        <w:gridCol w:w="1531"/>
        <w:gridCol w:w="1947"/>
        <w:gridCol w:w="34"/>
        <w:gridCol w:w="1914"/>
      </w:tblGrid>
      <w:tr w:rsidR="00D62A30" w:rsidRPr="005946C5" w14:paraId="66BE68F1" w14:textId="77777777" w:rsidTr="00DD31D5">
        <w:trPr>
          <w:trHeight w:val="83"/>
          <w:jc w:val="center"/>
        </w:trPr>
        <w:tc>
          <w:tcPr>
            <w:tcW w:w="4422"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180806F"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531" w:type="dxa"/>
            <w:vMerge w:val="restart"/>
            <w:tcBorders>
              <w:top w:val="double" w:sz="12" w:space="0" w:color="A6802D"/>
              <w:left w:val="nil"/>
              <w:right w:val="single" w:sz="12" w:space="0" w:color="FFFFFF" w:themeColor="background1"/>
            </w:tcBorders>
            <w:shd w:val="clear" w:color="auto" w:fill="A6802D"/>
            <w:vAlign w:val="center"/>
          </w:tcPr>
          <w:p w14:paraId="29CBFB6A"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3895" w:type="dxa"/>
            <w:gridSpan w:val="3"/>
            <w:tcBorders>
              <w:top w:val="double" w:sz="12" w:space="0" w:color="A6802D"/>
              <w:left w:val="single" w:sz="12" w:space="0" w:color="FFFFFF" w:themeColor="background1"/>
              <w:bottom w:val="single" w:sz="12" w:space="0" w:color="FFFFFF"/>
            </w:tcBorders>
            <w:shd w:val="clear" w:color="auto" w:fill="A6802D"/>
            <w:vAlign w:val="center"/>
            <w:hideMark/>
          </w:tcPr>
          <w:p w14:paraId="1178EA3A"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62A30" w:rsidRPr="005946C5" w14:paraId="1AE0119F" w14:textId="77777777" w:rsidTr="00DD31D5">
        <w:trPr>
          <w:trHeight w:val="28"/>
          <w:jc w:val="center"/>
        </w:trPr>
        <w:tc>
          <w:tcPr>
            <w:tcW w:w="4422" w:type="dxa"/>
            <w:vMerge/>
            <w:tcBorders>
              <w:top w:val="single" w:sz="12" w:space="0" w:color="808080"/>
              <w:left w:val="nil"/>
              <w:bottom w:val="triple" w:sz="12" w:space="0" w:color="A6802D"/>
              <w:right w:val="single" w:sz="12" w:space="0" w:color="FFFFFF"/>
            </w:tcBorders>
            <w:shd w:val="clear" w:color="auto" w:fill="A6802D"/>
            <w:vAlign w:val="center"/>
            <w:hideMark/>
          </w:tcPr>
          <w:p w14:paraId="31CCD665"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531" w:type="dxa"/>
            <w:vMerge/>
            <w:tcBorders>
              <w:left w:val="nil"/>
              <w:bottom w:val="triple" w:sz="12" w:space="0" w:color="A6802D"/>
              <w:right w:val="single" w:sz="12" w:space="0" w:color="FFFFFF" w:themeColor="background1"/>
            </w:tcBorders>
            <w:shd w:val="clear" w:color="auto" w:fill="A6802D"/>
          </w:tcPr>
          <w:p w14:paraId="1A49A94D" w14:textId="77777777" w:rsidR="00D62A30" w:rsidRPr="008E629A" w:rsidRDefault="00D62A30" w:rsidP="00DD31D5">
            <w:pPr>
              <w:spacing w:after="0" w:line="240" w:lineRule="exact"/>
              <w:jc w:val="center"/>
              <w:rPr>
                <w:rFonts w:ascii="Noto Sans" w:eastAsia="Times New Roman" w:hAnsi="Noto Sans" w:cs="Noto Sans"/>
                <w:b/>
                <w:bCs/>
                <w:color w:val="FFFFFF"/>
                <w:sz w:val="16"/>
                <w:szCs w:val="16"/>
                <w:lang w:eastAsia="es-MX"/>
              </w:rPr>
            </w:pPr>
          </w:p>
        </w:tc>
        <w:tc>
          <w:tcPr>
            <w:tcW w:w="1981" w:type="dxa"/>
            <w:gridSpan w:val="2"/>
            <w:tcBorders>
              <w:top w:val="nil"/>
              <w:left w:val="single" w:sz="12" w:space="0" w:color="FFFFFF" w:themeColor="background1"/>
              <w:bottom w:val="triple" w:sz="12" w:space="0" w:color="A6802D"/>
              <w:right w:val="single" w:sz="12" w:space="0" w:color="FFFFFF"/>
            </w:tcBorders>
            <w:shd w:val="clear" w:color="auto" w:fill="A6802D"/>
            <w:vAlign w:val="center"/>
          </w:tcPr>
          <w:p w14:paraId="16F0A2D3" w14:textId="3774A90C" w:rsidR="00D62A30"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14" w:type="dxa"/>
            <w:tcBorders>
              <w:top w:val="nil"/>
              <w:left w:val="nil"/>
              <w:bottom w:val="triple" w:sz="12" w:space="0" w:color="A6802D"/>
            </w:tcBorders>
            <w:shd w:val="clear" w:color="auto" w:fill="A6802D"/>
            <w:vAlign w:val="center"/>
          </w:tcPr>
          <w:p w14:paraId="28A346CE" w14:textId="5B159B7A" w:rsidR="00D62A30" w:rsidRPr="008E629A" w:rsidRDefault="00D62A30"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F760E9" w:rsidRPr="005946C5" w14:paraId="199D5E75" w14:textId="77777777" w:rsidTr="00947EC7">
        <w:trPr>
          <w:trHeight w:val="283"/>
          <w:jc w:val="center"/>
        </w:trPr>
        <w:tc>
          <w:tcPr>
            <w:tcW w:w="4422" w:type="dxa"/>
            <w:tcBorders>
              <w:top w:val="triple" w:sz="12" w:space="0" w:color="A6802D"/>
              <w:left w:val="nil"/>
              <w:bottom w:val="nil"/>
              <w:right w:val="nil"/>
            </w:tcBorders>
            <w:shd w:val="clear" w:color="000000" w:fill="F2F2F2"/>
            <w:vAlign w:val="center"/>
          </w:tcPr>
          <w:p w14:paraId="2110D0DD" w14:textId="2D653B19"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Valores Gubernamentales, Corporativos, Bancarios, Cuasi gubernamentales y Bursatilizaciones</w:t>
            </w:r>
          </w:p>
        </w:tc>
        <w:tc>
          <w:tcPr>
            <w:tcW w:w="1531" w:type="dxa"/>
            <w:tcBorders>
              <w:top w:val="triple" w:sz="12" w:space="0" w:color="A6802D"/>
              <w:left w:val="nil"/>
              <w:bottom w:val="nil"/>
              <w:right w:val="nil"/>
            </w:tcBorders>
            <w:shd w:val="clear" w:color="000000" w:fill="F2F2F2"/>
            <w:vAlign w:val="center"/>
          </w:tcPr>
          <w:p w14:paraId="1D29686F" w14:textId="497920F2"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tasa fija</w:t>
            </w:r>
          </w:p>
        </w:tc>
        <w:tc>
          <w:tcPr>
            <w:tcW w:w="1947" w:type="dxa"/>
            <w:tcBorders>
              <w:top w:val="triple" w:sz="12" w:space="0" w:color="A6802D"/>
              <w:left w:val="nil"/>
              <w:bottom w:val="nil"/>
              <w:right w:val="nil"/>
            </w:tcBorders>
            <w:shd w:val="clear" w:color="000000" w:fill="F2F2F2"/>
            <w:vAlign w:val="center"/>
          </w:tcPr>
          <w:p w14:paraId="58981C00" w14:textId="04DDD323" w:rsidR="00F760E9" w:rsidRPr="00D62A30" w:rsidRDefault="00A44CAD"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48" w:type="dxa"/>
            <w:gridSpan w:val="2"/>
            <w:tcBorders>
              <w:top w:val="triple" w:sz="12" w:space="0" w:color="A6802D"/>
              <w:left w:val="nil"/>
              <w:bottom w:val="nil"/>
              <w:right w:val="nil"/>
            </w:tcBorders>
            <w:shd w:val="clear" w:color="000000" w:fill="F2F2F2"/>
            <w:vAlign w:val="center"/>
          </w:tcPr>
          <w:p w14:paraId="5E77163F" w14:textId="0737B860"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1,517,514,797.5</w:t>
            </w:r>
          </w:p>
        </w:tc>
      </w:tr>
      <w:tr w:rsidR="00F760E9" w:rsidRPr="00FC0913" w14:paraId="36C980E8" w14:textId="77777777" w:rsidTr="00947EC7">
        <w:trPr>
          <w:trHeight w:val="283"/>
          <w:jc w:val="center"/>
        </w:trPr>
        <w:tc>
          <w:tcPr>
            <w:tcW w:w="4422" w:type="dxa"/>
            <w:tcBorders>
              <w:top w:val="nil"/>
              <w:left w:val="nil"/>
              <w:bottom w:val="nil"/>
              <w:right w:val="nil"/>
            </w:tcBorders>
            <w:shd w:val="clear" w:color="000000" w:fill="F2F2F2"/>
            <w:vAlign w:val="center"/>
          </w:tcPr>
          <w:p w14:paraId="6569EF33" w14:textId="1D33572B"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Inversiones en Fondeo</w:t>
            </w:r>
          </w:p>
        </w:tc>
        <w:tc>
          <w:tcPr>
            <w:tcW w:w="1531" w:type="dxa"/>
            <w:tcBorders>
              <w:top w:val="nil"/>
              <w:left w:val="nil"/>
              <w:bottom w:val="nil"/>
              <w:right w:val="nil"/>
            </w:tcBorders>
            <w:shd w:val="clear" w:color="000000" w:fill="F2F2F2"/>
            <w:vAlign w:val="center"/>
          </w:tcPr>
          <w:p w14:paraId="2C0A6E5D" w14:textId="078B9F8F"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Plazo a la vista</w:t>
            </w:r>
          </w:p>
        </w:tc>
        <w:tc>
          <w:tcPr>
            <w:tcW w:w="1947" w:type="dxa"/>
            <w:tcBorders>
              <w:top w:val="nil"/>
              <w:left w:val="nil"/>
              <w:bottom w:val="nil"/>
              <w:right w:val="nil"/>
            </w:tcBorders>
            <w:shd w:val="clear" w:color="000000" w:fill="F2F2F2"/>
            <w:vAlign w:val="center"/>
          </w:tcPr>
          <w:p w14:paraId="2738C2C6" w14:textId="4B0AC404" w:rsidR="00F760E9" w:rsidRPr="00D62A30" w:rsidRDefault="00A44CAD"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2,78</w:t>
            </w:r>
            <w:r w:rsidR="00311B76">
              <w:rPr>
                <w:rFonts w:ascii="Noto Sans" w:hAnsi="Noto Sans" w:cs="Noto Sans"/>
                <w:color w:val="000000"/>
                <w:sz w:val="15"/>
                <w:szCs w:val="15"/>
              </w:rPr>
              <w:t>0</w:t>
            </w:r>
            <w:r>
              <w:rPr>
                <w:rFonts w:ascii="Noto Sans" w:hAnsi="Noto Sans" w:cs="Noto Sans"/>
                <w:color w:val="000000"/>
                <w:sz w:val="15"/>
                <w:szCs w:val="15"/>
              </w:rPr>
              <w:t>,577,748.9</w:t>
            </w:r>
          </w:p>
        </w:tc>
        <w:tc>
          <w:tcPr>
            <w:tcW w:w="1948" w:type="dxa"/>
            <w:gridSpan w:val="2"/>
            <w:tcBorders>
              <w:top w:val="nil"/>
              <w:left w:val="nil"/>
              <w:bottom w:val="nil"/>
              <w:right w:val="nil"/>
            </w:tcBorders>
            <w:shd w:val="clear" w:color="000000" w:fill="F2F2F2"/>
            <w:vAlign w:val="center"/>
          </w:tcPr>
          <w:p w14:paraId="4794E95D" w14:textId="6E25EAB4"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1,409,203,556.1</w:t>
            </w:r>
          </w:p>
        </w:tc>
      </w:tr>
      <w:tr w:rsidR="00F760E9" w:rsidRPr="00FC0913" w14:paraId="2E8A8DC7" w14:textId="77777777" w:rsidTr="00947EC7">
        <w:trPr>
          <w:trHeight w:val="283"/>
          <w:jc w:val="center"/>
        </w:trPr>
        <w:tc>
          <w:tcPr>
            <w:tcW w:w="4422" w:type="dxa"/>
            <w:tcBorders>
              <w:top w:val="nil"/>
              <w:left w:val="nil"/>
              <w:bottom w:val="nil"/>
              <w:right w:val="nil"/>
            </w:tcBorders>
            <w:shd w:val="clear" w:color="000000" w:fill="F2F2F2"/>
            <w:vAlign w:val="center"/>
          </w:tcPr>
          <w:p w14:paraId="7B944BC2" w14:textId="4BED9C27"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Intereses Devengados No Cobrados</w:t>
            </w:r>
          </w:p>
        </w:tc>
        <w:tc>
          <w:tcPr>
            <w:tcW w:w="1531" w:type="dxa"/>
            <w:tcBorders>
              <w:top w:val="nil"/>
              <w:left w:val="nil"/>
              <w:bottom w:val="nil"/>
              <w:right w:val="nil"/>
            </w:tcBorders>
            <w:shd w:val="clear" w:color="000000" w:fill="F2F2F2"/>
            <w:vAlign w:val="center"/>
          </w:tcPr>
          <w:p w14:paraId="032B4924" w14:textId="26B150DF" w:rsidR="00F760E9" w:rsidRPr="00D62A30" w:rsidRDefault="00F760E9" w:rsidP="00D62A30">
            <w:pPr>
              <w:spacing w:after="0" w:line="240" w:lineRule="exact"/>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nil"/>
              <w:right w:val="nil"/>
            </w:tcBorders>
            <w:shd w:val="clear" w:color="000000" w:fill="F2F2F2"/>
            <w:vAlign w:val="center"/>
          </w:tcPr>
          <w:p w14:paraId="2EA1A0B4" w14:textId="7514FD5B" w:rsidR="00F760E9" w:rsidRPr="00D62A30" w:rsidRDefault="00A44CAD"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1,304,274.0</w:t>
            </w:r>
          </w:p>
        </w:tc>
        <w:tc>
          <w:tcPr>
            <w:tcW w:w="1948" w:type="dxa"/>
            <w:gridSpan w:val="2"/>
            <w:tcBorders>
              <w:top w:val="nil"/>
              <w:left w:val="nil"/>
              <w:bottom w:val="nil"/>
              <w:right w:val="nil"/>
            </w:tcBorders>
            <w:shd w:val="clear" w:color="000000" w:fill="F2F2F2"/>
            <w:vAlign w:val="center"/>
          </w:tcPr>
          <w:p w14:paraId="099EDCD5" w14:textId="64523BEE" w:rsidR="00F760E9" w:rsidRPr="00D62A30" w:rsidRDefault="00F760E9" w:rsidP="00D62A30">
            <w:pPr>
              <w:spacing w:after="0" w:line="240" w:lineRule="exact"/>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824,484.7</w:t>
            </w:r>
          </w:p>
        </w:tc>
      </w:tr>
      <w:tr w:rsidR="00F760E9" w:rsidRPr="005946C5" w14:paraId="3505871A" w14:textId="77777777" w:rsidTr="00947EC7">
        <w:trPr>
          <w:trHeight w:val="283"/>
          <w:jc w:val="center"/>
        </w:trPr>
        <w:tc>
          <w:tcPr>
            <w:tcW w:w="4422" w:type="dxa"/>
            <w:tcBorders>
              <w:top w:val="nil"/>
              <w:left w:val="nil"/>
              <w:bottom w:val="single" w:sz="12" w:space="0" w:color="A6802D"/>
              <w:right w:val="nil"/>
            </w:tcBorders>
            <w:shd w:val="clear" w:color="000000" w:fill="F2F2F2"/>
            <w:vAlign w:val="center"/>
          </w:tcPr>
          <w:p w14:paraId="146DE031" w14:textId="311BC3DE" w:rsidR="00F760E9" w:rsidRPr="00D62A30" w:rsidRDefault="00F760E9" w:rsidP="00D62A30">
            <w:pPr>
              <w:spacing w:after="0" w:line="240" w:lineRule="exact"/>
              <w:rPr>
                <w:rFonts w:ascii="Noto Sans" w:eastAsia="Times New Roman" w:hAnsi="Noto Sans" w:cs="Noto Sans"/>
                <w:b/>
                <w:color w:val="000000"/>
                <w:sz w:val="15"/>
                <w:szCs w:val="15"/>
                <w:lang w:eastAsia="es-MX"/>
              </w:rPr>
            </w:pPr>
            <w:r>
              <w:rPr>
                <w:rFonts w:ascii="Noto Sans" w:hAnsi="Noto Sans" w:cs="Noto Sans"/>
                <w:b/>
                <w:bCs/>
                <w:color w:val="000000"/>
                <w:sz w:val="15"/>
                <w:szCs w:val="15"/>
              </w:rPr>
              <w:t>Total</w:t>
            </w:r>
          </w:p>
        </w:tc>
        <w:tc>
          <w:tcPr>
            <w:tcW w:w="1531" w:type="dxa"/>
            <w:tcBorders>
              <w:top w:val="nil"/>
              <w:left w:val="nil"/>
              <w:bottom w:val="single" w:sz="12" w:space="0" w:color="A6802D"/>
              <w:right w:val="nil"/>
            </w:tcBorders>
            <w:shd w:val="clear" w:color="000000" w:fill="F2F2F2"/>
            <w:vAlign w:val="center"/>
          </w:tcPr>
          <w:p w14:paraId="563E638F" w14:textId="5AC4B45C" w:rsidR="00F760E9" w:rsidRPr="00D62A30" w:rsidRDefault="00F760E9" w:rsidP="00D62A3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w:t>
            </w:r>
          </w:p>
        </w:tc>
        <w:tc>
          <w:tcPr>
            <w:tcW w:w="1947" w:type="dxa"/>
            <w:tcBorders>
              <w:top w:val="nil"/>
              <w:left w:val="nil"/>
              <w:bottom w:val="single" w:sz="12" w:space="0" w:color="A6802D"/>
              <w:right w:val="nil"/>
            </w:tcBorders>
            <w:shd w:val="clear" w:color="000000" w:fill="F2F2F2"/>
            <w:vAlign w:val="center"/>
          </w:tcPr>
          <w:p w14:paraId="327E41C9" w14:textId="51073FC1" w:rsidR="00F760E9" w:rsidRPr="00D62A30" w:rsidRDefault="00A44CAD" w:rsidP="00D62A30">
            <w:pPr>
              <w:spacing w:after="0" w:line="240" w:lineRule="exact"/>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2,781,882,022.9</w:t>
            </w:r>
          </w:p>
        </w:tc>
        <w:tc>
          <w:tcPr>
            <w:tcW w:w="1948" w:type="dxa"/>
            <w:gridSpan w:val="2"/>
            <w:tcBorders>
              <w:top w:val="nil"/>
              <w:left w:val="nil"/>
              <w:bottom w:val="single" w:sz="12" w:space="0" w:color="A6802D"/>
              <w:right w:val="nil"/>
            </w:tcBorders>
            <w:shd w:val="clear" w:color="000000" w:fill="F2F2F2"/>
            <w:vAlign w:val="center"/>
          </w:tcPr>
          <w:p w14:paraId="30AE97E2" w14:textId="4E50A96C" w:rsidR="00F760E9" w:rsidRPr="00D62A30" w:rsidRDefault="00F760E9" w:rsidP="00D62A30">
            <w:pPr>
              <w:spacing w:after="0" w:line="240" w:lineRule="exact"/>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2,927,542,838.3</w:t>
            </w:r>
          </w:p>
        </w:tc>
      </w:tr>
      <w:tr w:rsidR="00D62A30" w:rsidRPr="00274555" w14:paraId="6D1EAEE6" w14:textId="77777777" w:rsidTr="00DD31D5">
        <w:trPr>
          <w:trHeight w:val="226"/>
          <w:jc w:val="center"/>
        </w:trPr>
        <w:tc>
          <w:tcPr>
            <w:tcW w:w="4422" w:type="dxa"/>
            <w:tcBorders>
              <w:top w:val="single" w:sz="12" w:space="0" w:color="A6802D"/>
              <w:left w:val="nil"/>
              <w:right w:val="nil"/>
            </w:tcBorders>
            <w:vAlign w:val="center"/>
          </w:tcPr>
          <w:p w14:paraId="301CCDA8" w14:textId="77777777" w:rsidR="00D62A30" w:rsidRPr="00274555" w:rsidRDefault="00D62A30"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531" w:type="dxa"/>
            <w:tcBorders>
              <w:top w:val="single" w:sz="12" w:space="0" w:color="A6802D"/>
              <w:left w:val="nil"/>
              <w:right w:val="nil"/>
            </w:tcBorders>
          </w:tcPr>
          <w:p w14:paraId="5C0A7E5F" w14:textId="77777777" w:rsidR="00D62A30" w:rsidRPr="00274555" w:rsidRDefault="00D62A30" w:rsidP="00DD31D5">
            <w:pPr>
              <w:spacing w:after="0" w:line="240" w:lineRule="auto"/>
              <w:jc w:val="both"/>
              <w:rPr>
                <w:rFonts w:ascii="Noto Sans" w:eastAsia="Times New Roman" w:hAnsi="Noto Sans" w:cs="Noto Sans"/>
                <w:b/>
                <w:bCs/>
                <w:color w:val="000000"/>
                <w:sz w:val="14"/>
                <w:szCs w:val="14"/>
                <w:lang w:eastAsia="es-MX"/>
              </w:rPr>
            </w:pPr>
          </w:p>
        </w:tc>
        <w:tc>
          <w:tcPr>
            <w:tcW w:w="1947" w:type="dxa"/>
            <w:tcBorders>
              <w:top w:val="single" w:sz="12" w:space="0" w:color="A6802D"/>
              <w:left w:val="nil"/>
              <w:right w:val="nil"/>
            </w:tcBorders>
            <w:vAlign w:val="center"/>
          </w:tcPr>
          <w:p w14:paraId="199EE246" w14:textId="77777777" w:rsidR="00D62A30" w:rsidRPr="00274555" w:rsidRDefault="00D62A30" w:rsidP="00DD31D5">
            <w:pPr>
              <w:spacing w:after="0" w:line="240" w:lineRule="auto"/>
              <w:jc w:val="both"/>
              <w:rPr>
                <w:rFonts w:ascii="Noto Sans" w:eastAsia="Times New Roman" w:hAnsi="Noto Sans" w:cs="Noto Sans"/>
                <w:b/>
                <w:bCs/>
                <w:color w:val="000000"/>
                <w:sz w:val="14"/>
                <w:szCs w:val="14"/>
                <w:lang w:eastAsia="es-MX"/>
              </w:rPr>
            </w:pPr>
          </w:p>
        </w:tc>
        <w:tc>
          <w:tcPr>
            <w:tcW w:w="1948" w:type="dxa"/>
            <w:gridSpan w:val="2"/>
            <w:tcBorders>
              <w:top w:val="single" w:sz="12" w:space="0" w:color="A6802D"/>
              <w:left w:val="nil"/>
              <w:right w:val="nil"/>
            </w:tcBorders>
            <w:vAlign w:val="center"/>
          </w:tcPr>
          <w:p w14:paraId="7F5B5026" w14:textId="77777777" w:rsidR="00D62A30" w:rsidRPr="00274555" w:rsidRDefault="00D62A30" w:rsidP="00DD31D5">
            <w:pPr>
              <w:spacing w:after="0" w:line="240" w:lineRule="auto"/>
              <w:jc w:val="both"/>
              <w:rPr>
                <w:rFonts w:ascii="Noto Sans" w:eastAsia="Times New Roman" w:hAnsi="Noto Sans" w:cs="Noto Sans"/>
                <w:b/>
                <w:bCs/>
                <w:color w:val="000000"/>
                <w:sz w:val="14"/>
                <w:szCs w:val="14"/>
                <w:lang w:eastAsia="es-MX"/>
              </w:rPr>
            </w:pPr>
          </w:p>
        </w:tc>
      </w:tr>
    </w:tbl>
    <w:p w14:paraId="4D289960" w14:textId="77777777" w:rsidR="003F004E" w:rsidRDefault="003F004E" w:rsidP="00D91328">
      <w:pPr>
        <w:pStyle w:val="TEXTONORMAL"/>
        <w:tabs>
          <w:tab w:val="left" w:pos="284"/>
        </w:tabs>
        <w:rPr>
          <w:rFonts w:cs="Noto Sans"/>
          <w:szCs w:val="18"/>
        </w:rPr>
      </w:pPr>
    </w:p>
    <w:p w14:paraId="691A1DEA" w14:textId="3D6B89DD" w:rsidR="00E430D6" w:rsidRPr="00E430D6" w:rsidRDefault="00E430D6" w:rsidP="00E430D6">
      <w:pPr>
        <w:pStyle w:val="TEXTONORMAL"/>
        <w:spacing w:after="0"/>
      </w:pPr>
      <w:r w:rsidRPr="00E430D6">
        <w:t>El H. Consejo Técnico mediante acuerdo ACDO.AS3.HCT.280125/6.P.DF del 28 de enero de 2025, autorizó de conformidad con lo señalado en el artículo 277 C de la Ley del Seguro Social, la transferencia de 8,120,439,262.5 pesos a la Reserva de Operación para Contingencias y Financiamiento, importe correspondiente al superávit presupuestal después del cumplimiento de la meta de reservas del cierre del ejercicio 2024.</w:t>
      </w:r>
    </w:p>
    <w:p w14:paraId="29FA7CB1" w14:textId="77777777" w:rsidR="00E430D6" w:rsidRPr="00E430D6" w:rsidRDefault="00E430D6" w:rsidP="00E430D6">
      <w:pPr>
        <w:pStyle w:val="TEXTONORMAL"/>
        <w:spacing w:after="0"/>
      </w:pPr>
    </w:p>
    <w:p w14:paraId="098E4E3F" w14:textId="7EC0D6AA" w:rsidR="00E430D6" w:rsidRPr="00E430D6" w:rsidRDefault="00E430D6" w:rsidP="00E430D6">
      <w:pPr>
        <w:pStyle w:val="TEXTONORMAL"/>
        <w:spacing w:after="0"/>
      </w:pPr>
      <w:r w:rsidRPr="00E430D6">
        <w:t>El 28 de marzo de 2025, se realizó la aportación por 2,318,796,977.0</w:t>
      </w:r>
      <w:r w:rsidR="00A00AB3">
        <w:t xml:space="preserve"> pesos</w:t>
      </w:r>
      <w:r w:rsidRPr="00E430D6">
        <w:t xml:space="preserve"> a la Reserva General Financiera y Actuarial, como parte de la Meta de Reservas señalado en el Programa Anual de Administración y Constitución de Reservas del Ejercicio 2025 y Adecuaciones, aprobados mediante los Acuerdos ACDO.AS3.HCT.181224/470.P.DF y ACDO.AS3.HCT.260225/30.P.DF del H. Consejo Técnico, de fecha 18 de diciembre de 2024 y 26 de febrero de 2025, respectivamente.</w:t>
      </w:r>
    </w:p>
    <w:p w14:paraId="3E1AB3EB" w14:textId="77777777" w:rsidR="00662C8C" w:rsidRPr="00662C8C" w:rsidRDefault="00662C8C" w:rsidP="00662C8C">
      <w:pPr>
        <w:pStyle w:val="TEXTONORMAL"/>
        <w:spacing w:after="0"/>
      </w:pPr>
    </w:p>
    <w:p w14:paraId="21750A6D" w14:textId="3C7A8021" w:rsidR="00DE74EB" w:rsidRPr="00B41EC9" w:rsidRDefault="00DE74EB" w:rsidP="00DE74EB">
      <w:pPr>
        <w:pStyle w:val="TEXTONORMAL"/>
        <w:spacing w:after="0"/>
      </w:pPr>
      <w:r w:rsidRPr="001B583B">
        <w:t>Con base en la Meta de Reservas señalada en el párrafo anterior, el 2</w:t>
      </w:r>
      <w:r w:rsidR="006C0828">
        <w:t>7</w:t>
      </w:r>
      <w:r w:rsidRPr="001B583B">
        <w:t xml:space="preserve"> de junio de 202</w:t>
      </w:r>
      <w:r w:rsidR="006C0828">
        <w:t>5</w:t>
      </w:r>
      <w:r w:rsidRPr="001B583B">
        <w:t xml:space="preserve">, se realizó la segunda aportación a la Reserva General Financiera y Actuarial por </w:t>
      </w:r>
      <w:r w:rsidR="006C0828">
        <w:t>1,159,398,489.</w:t>
      </w:r>
      <w:r w:rsidRPr="001B583B">
        <w:t>0</w:t>
      </w:r>
      <w:r>
        <w:t xml:space="preserve"> pesos</w:t>
      </w:r>
      <w:r w:rsidRPr="001B583B">
        <w:t xml:space="preserve">, y la primera aportación a la Reserva Financiera y Actuarial del Seguro de Guarderías y Prestaciones Sociales por </w:t>
      </w:r>
      <w:r w:rsidR="005323AB">
        <w:t>1,085,832,888.0</w:t>
      </w:r>
      <w:r>
        <w:t xml:space="preserve"> pesos.</w:t>
      </w:r>
    </w:p>
    <w:p w14:paraId="56E38522" w14:textId="77777777" w:rsidR="00EC5A85" w:rsidRPr="00B41EC9" w:rsidRDefault="00EC5A85" w:rsidP="00DE74EB">
      <w:pPr>
        <w:pStyle w:val="TEXTONORMAL"/>
        <w:spacing w:after="0"/>
      </w:pPr>
    </w:p>
    <w:p w14:paraId="2F549CA3" w14:textId="3EC01154" w:rsidR="00EC5A85" w:rsidRDefault="00EC5A85" w:rsidP="00EC5A85">
      <w:pPr>
        <w:pStyle w:val="TEXTONORMAL"/>
        <w:spacing w:after="0"/>
      </w:pPr>
      <w:r w:rsidRPr="00B41EC9">
        <w:t>El 30 de junio de 2025, el Instituto llevó a cabo el reintegro de los remanentes y rendimientos financieros generados por un importe total de 84,728,82</w:t>
      </w:r>
      <w:r w:rsidR="002865F0">
        <w:t>4</w:t>
      </w:r>
      <w:r w:rsidRPr="00B41EC9">
        <w:t>.</w:t>
      </w:r>
      <w:r w:rsidR="0015592B">
        <w:t>0</w:t>
      </w:r>
      <w:r w:rsidRPr="00B41EC9">
        <w:t xml:space="preserve"> de los recursos del Convenio entre IMSS-Bienestar con el entonces Instituto de Salud para el Bienestar (INSABI), en cumplimiento al Tercer Convenio Modificatorio al Convenio específico de colaboración para apoyar el fortalecimiento de la infraestructura de hospitales rurales del programa IMSS-Bienestar, suscrito el 23 de marzo de 2021, que celebraron, por una parte, Servicios de Salud del Instituto Mexicano del Seguro Social para el Bienestar “IMSS-Bienestar”, y por la otra, el Instituto Mexicano del Seguro Social “IMSS” asistido por la Unidad del Programa IMSS-Bienestar “El Programa”.</w:t>
      </w:r>
    </w:p>
    <w:p w14:paraId="00F27B83" w14:textId="77777777" w:rsidR="00ED1BEC" w:rsidRPr="00B41EC9" w:rsidRDefault="00ED1BEC" w:rsidP="00EC5A85">
      <w:pPr>
        <w:pStyle w:val="TEXTONORMAL"/>
        <w:spacing w:after="0"/>
      </w:pPr>
    </w:p>
    <w:p w14:paraId="221DB916" w14:textId="77777777" w:rsidR="00DE74EB" w:rsidRPr="001B583B" w:rsidRDefault="00DE74EB" w:rsidP="00DE74EB">
      <w:pPr>
        <w:pStyle w:val="TEXTONORMAL"/>
        <w:spacing w:after="0"/>
      </w:pPr>
    </w:p>
    <w:p w14:paraId="380E6A44" w14:textId="3BCB5E47" w:rsidR="006C6B52" w:rsidRDefault="004C72F3" w:rsidP="006C6B52">
      <w:pPr>
        <w:pStyle w:val="TEXTONORMAL"/>
      </w:pPr>
      <w:r>
        <w:rPr>
          <w:rFonts w:cs="Noto Sans"/>
          <w:szCs w:val="18"/>
        </w:rPr>
        <w:lastRenderedPageBreak/>
        <w:t>A</w:t>
      </w:r>
      <w:r w:rsidRPr="000F4D76">
        <w:rPr>
          <w:rFonts w:cs="Noto Sans"/>
          <w:szCs w:val="18"/>
        </w:rPr>
        <w:t xml:space="preserve">l </w:t>
      </w:r>
      <w:r w:rsidR="00015FB7" w:rsidRPr="002B3F78">
        <w:rPr>
          <w:rFonts w:cs="Noto Sans"/>
          <w:szCs w:val="18"/>
        </w:rPr>
        <w:t>3</w:t>
      </w:r>
      <w:r w:rsidR="00015FB7">
        <w:rPr>
          <w:rFonts w:cs="Noto Sans"/>
          <w:szCs w:val="18"/>
        </w:rPr>
        <w:t>0</w:t>
      </w:r>
      <w:r w:rsidR="00015FB7" w:rsidRPr="002B3F78">
        <w:rPr>
          <w:rFonts w:cs="Noto Sans"/>
          <w:szCs w:val="18"/>
        </w:rPr>
        <w:t xml:space="preserve"> de </w:t>
      </w:r>
      <w:r w:rsidR="00015FB7">
        <w:rPr>
          <w:rFonts w:cs="Noto Sans"/>
          <w:szCs w:val="18"/>
        </w:rPr>
        <w:t>junio</w:t>
      </w:r>
      <w:r w:rsidR="00015FB7" w:rsidRPr="002B3F78">
        <w:rPr>
          <w:rFonts w:cs="Noto Sans"/>
          <w:szCs w:val="18"/>
        </w:rPr>
        <w:t xml:space="preserve"> </w:t>
      </w:r>
      <w:r w:rsidRPr="000F4D76">
        <w:rPr>
          <w:rFonts w:cs="Noto Sans"/>
          <w:szCs w:val="18"/>
        </w:rPr>
        <w:t>de 2025 y 31 de diciembre de 2024</w:t>
      </w:r>
      <w:r w:rsidR="006C6B52" w:rsidRPr="00B06CFA">
        <w:t xml:space="preserve">, la posición en acciones de </w:t>
      </w:r>
      <w:proofErr w:type="spellStart"/>
      <w:r w:rsidR="006C6B52" w:rsidRPr="00B06CFA">
        <w:t>Metrofinanciera</w:t>
      </w:r>
      <w:proofErr w:type="spellEnd"/>
      <w:r w:rsidR="006C6B52" w:rsidRPr="00B06CFA">
        <w:t xml:space="preserve"> se encuentra con clasificación “Instrumentos Financieros para Cobrar o Vender” tanto para la RFA-SRT como para el RJPS1, la posi</w:t>
      </w:r>
      <w:r w:rsidR="006C6B52">
        <w:t>ción se muestra a continuación:</w:t>
      </w:r>
    </w:p>
    <w:p w14:paraId="3500C7D9" w14:textId="77777777" w:rsidR="003019E2" w:rsidRDefault="003019E2" w:rsidP="006C6B52">
      <w:pPr>
        <w:pStyle w:val="TEXTONORMAL"/>
      </w:pPr>
    </w:p>
    <w:tbl>
      <w:tblPr>
        <w:tblW w:w="0" w:type="auto"/>
        <w:jc w:val="center"/>
        <w:tblCellMar>
          <w:left w:w="70" w:type="dxa"/>
          <w:right w:w="70" w:type="dxa"/>
        </w:tblCellMar>
        <w:tblLook w:val="0480" w:firstRow="0" w:lastRow="0" w:firstColumn="1" w:lastColumn="0" w:noHBand="0" w:noVBand="1"/>
      </w:tblPr>
      <w:tblGrid>
        <w:gridCol w:w="1871"/>
        <w:gridCol w:w="1531"/>
        <w:gridCol w:w="1531"/>
        <w:gridCol w:w="1871"/>
        <w:gridCol w:w="1489"/>
        <w:gridCol w:w="42"/>
      </w:tblGrid>
      <w:tr w:rsidR="003019E2" w:rsidRPr="005946C5" w14:paraId="2E16D90C" w14:textId="77777777" w:rsidTr="00FD2CDA">
        <w:trPr>
          <w:trHeight w:val="83"/>
          <w:jc w:val="center"/>
        </w:trPr>
        <w:tc>
          <w:tcPr>
            <w:tcW w:w="187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F14890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Reserva</w:t>
            </w:r>
          </w:p>
        </w:tc>
        <w:tc>
          <w:tcPr>
            <w:tcW w:w="6464" w:type="dxa"/>
            <w:gridSpan w:val="5"/>
            <w:tcBorders>
              <w:top w:val="double" w:sz="12" w:space="0" w:color="A6802D"/>
              <w:left w:val="nil"/>
              <w:bottom w:val="single" w:sz="12" w:space="0" w:color="FFFFFF" w:themeColor="background1"/>
            </w:tcBorders>
            <w:shd w:val="clear" w:color="auto" w:fill="A6802D"/>
          </w:tcPr>
          <w:p w14:paraId="31DAB32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2025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3019E2" w:rsidRPr="005946C5" w14:paraId="17382BC5" w14:textId="77777777" w:rsidTr="00FD2CDA">
        <w:trPr>
          <w:trHeight w:val="28"/>
          <w:jc w:val="center"/>
        </w:trPr>
        <w:tc>
          <w:tcPr>
            <w:tcW w:w="1871" w:type="dxa"/>
            <w:vMerge/>
            <w:tcBorders>
              <w:top w:val="single" w:sz="12" w:space="0" w:color="808080"/>
              <w:left w:val="nil"/>
              <w:bottom w:val="triple" w:sz="12" w:space="0" w:color="A6802D"/>
              <w:right w:val="single" w:sz="12" w:space="0" w:color="FFFFFF"/>
            </w:tcBorders>
            <w:shd w:val="clear" w:color="auto" w:fill="A6802D"/>
            <w:vAlign w:val="center"/>
            <w:hideMark/>
          </w:tcPr>
          <w:p w14:paraId="3D9175F4"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31" w:type="dxa"/>
            <w:tcBorders>
              <w:top w:val="single" w:sz="12" w:space="0" w:color="FFFFFF" w:themeColor="background1"/>
              <w:left w:val="nil"/>
              <w:bottom w:val="triple" w:sz="12" w:space="0" w:color="A6802D"/>
              <w:right w:val="single" w:sz="12" w:space="0" w:color="FFFFFF" w:themeColor="background1"/>
            </w:tcBorders>
            <w:shd w:val="clear" w:color="auto" w:fill="A6802D"/>
          </w:tcPr>
          <w:p w14:paraId="1066EE4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Acciones</w:t>
            </w:r>
          </w:p>
        </w:tc>
        <w:tc>
          <w:tcPr>
            <w:tcW w:w="1531"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tcPr>
          <w:p w14:paraId="57CEFA92"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871"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3A6F8D67"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 Registrado</w:t>
            </w:r>
          </w:p>
        </w:tc>
        <w:tc>
          <w:tcPr>
            <w:tcW w:w="1531" w:type="dxa"/>
            <w:gridSpan w:val="2"/>
            <w:tcBorders>
              <w:top w:val="single" w:sz="12" w:space="0" w:color="FFFFFF" w:themeColor="background1"/>
              <w:left w:val="nil"/>
              <w:bottom w:val="triple" w:sz="12" w:space="0" w:color="A6802D"/>
            </w:tcBorders>
            <w:shd w:val="clear" w:color="auto" w:fill="A6802D"/>
            <w:vAlign w:val="center"/>
          </w:tcPr>
          <w:p w14:paraId="6490848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Saldo contable </w:t>
            </w:r>
          </w:p>
        </w:tc>
      </w:tr>
      <w:tr w:rsidR="003019E2" w:rsidRPr="005946C5" w14:paraId="30D37E84" w14:textId="77777777" w:rsidTr="00FD2CDA">
        <w:trPr>
          <w:trHeight w:val="227"/>
          <w:jc w:val="center"/>
        </w:trPr>
        <w:tc>
          <w:tcPr>
            <w:tcW w:w="1871" w:type="dxa"/>
            <w:tcBorders>
              <w:top w:val="triple" w:sz="12" w:space="0" w:color="A6802D"/>
              <w:left w:val="nil"/>
              <w:bottom w:val="nil"/>
              <w:right w:val="nil"/>
            </w:tcBorders>
            <w:shd w:val="clear" w:color="000000" w:fill="F2F2F2"/>
            <w:vAlign w:val="center"/>
          </w:tcPr>
          <w:p w14:paraId="60F3F56A" w14:textId="77777777" w:rsidR="003019E2" w:rsidRPr="00001AF5" w:rsidRDefault="003019E2" w:rsidP="00FD2CDA">
            <w:pPr>
              <w:tabs>
                <w:tab w:val="right" w:pos="4120"/>
              </w:tabs>
              <w:spacing w:after="0" w:line="240" w:lineRule="exact"/>
              <w:rPr>
                <w:rFonts w:ascii="Noto Sans" w:hAnsi="Noto Sans" w:cs="Noto Sans"/>
                <w:b/>
                <w:sz w:val="15"/>
                <w:szCs w:val="15"/>
              </w:rPr>
            </w:pPr>
            <w:r w:rsidRPr="00001AF5">
              <w:rPr>
                <w:rFonts w:ascii="Noto Sans" w:hAnsi="Noto Sans" w:cs="Noto Sans"/>
                <w:b/>
                <w:sz w:val="15"/>
                <w:szCs w:val="15"/>
              </w:rPr>
              <w:t>RFA-SRT</w:t>
            </w:r>
          </w:p>
        </w:tc>
        <w:tc>
          <w:tcPr>
            <w:tcW w:w="1531" w:type="dxa"/>
            <w:tcBorders>
              <w:top w:val="triple" w:sz="12" w:space="0" w:color="A6802D"/>
              <w:left w:val="nil"/>
              <w:bottom w:val="nil"/>
              <w:right w:val="nil"/>
            </w:tcBorders>
            <w:shd w:val="clear" w:color="000000" w:fill="F2F2F2"/>
            <w:vAlign w:val="center"/>
          </w:tcPr>
          <w:p w14:paraId="0A1ABCFA" w14:textId="77777777" w:rsidR="003019E2" w:rsidRPr="00001AF5" w:rsidRDefault="003019E2" w:rsidP="00FD2CDA">
            <w:pPr>
              <w:spacing w:after="0" w:line="240" w:lineRule="exact"/>
              <w:jc w:val="right"/>
              <w:rPr>
                <w:rFonts w:ascii="Noto Sans" w:hAnsi="Noto Sans" w:cs="Noto Sans"/>
                <w:sz w:val="15"/>
                <w:szCs w:val="15"/>
              </w:rPr>
            </w:pPr>
          </w:p>
        </w:tc>
        <w:tc>
          <w:tcPr>
            <w:tcW w:w="1531" w:type="dxa"/>
            <w:tcBorders>
              <w:top w:val="triple" w:sz="12" w:space="0" w:color="A6802D"/>
              <w:left w:val="nil"/>
              <w:bottom w:val="nil"/>
              <w:right w:val="nil"/>
            </w:tcBorders>
            <w:shd w:val="clear" w:color="000000" w:fill="F2F2F2"/>
            <w:vAlign w:val="center"/>
          </w:tcPr>
          <w:p w14:paraId="3ED071A7" w14:textId="77777777" w:rsidR="003019E2" w:rsidRPr="00001AF5" w:rsidRDefault="003019E2" w:rsidP="00FD2CDA">
            <w:pPr>
              <w:spacing w:after="0" w:line="240" w:lineRule="exact"/>
              <w:jc w:val="right"/>
              <w:rPr>
                <w:rFonts w:ascii="Noto Sans" w:hAnsi="Noto Sans" w:cs="Noto Sans"/>
                <w:sz w:val="15"/>
                <w:szCs w:val="15"/>
              </w:rPr>
            </w:pPr>
          </w:p>
        </w:tc>
        <w:tc>
          <w:tcPr>
            <w:tcW w:w="1871" w:type="dxa"/>
            <w:tcBorders>
              <w:top w:val="triple" w:sz="12" w:space="0" w:color="A6802D"/>
              <w:left w:val="nil"/>
              <w:bottom w:val="nil"/>
              <w:right w:val="nil"/>
            </w:tcBorders>
            <w:shd w:val="clear" w:color="000000" w:fill="F2F2F2"/>
            <w:vAlign w:val="center"/>
          </w:tcPr>
          <w:p w14:paraId="5DA4DB4C" w14:textId="77777777" w:rsidR="003019E2" w:rsidRPr="00001AF5" w:rsidRDefault="003019E2" w:rsidP="00FD2CDA">
            <w:pPr>
              <w:spacing w:after="0" w:line="240" w:lineRule="exact"/>
              <w:jc w:val="right"/>
              <w:rPr>
                <w:rFonts w:ascii="Noto Sans" w:hAnsi="Noto Sans" w:cs="Noto Sans"/>
                <w:sz w:val="15"/>
                <w:szCs w:val="15"/>
              </w:rPr>
            </w:pPr>
          </w:p>
        </w:tc>
        <w:tc>
          <w:tcPr>
            <w:tcW w:w="1531" w:type="dxa"/>
            <w:gridSpan w:val="2"/>
            <w:tcBorders>
              <w:top w:val="triple" w:sz="12" w:space="0" w:color="A6802D"/>
              <w:left w:val="nil"/>
              <w:bottom w:val="nil"/>
              <w:right w:val="nil"/>
            </w:tcBorders>
            <w:shd w:val="clear" w:color="000000" w:fill="F2F2F2"/>
            <w:vAlign w:val="center"/>
          </w:tcPr>
          <w:p w14:paraId="187DE554" w14:textId="77777777" w:rsidR="003019E2" w:rsidRPr="00001AF5" w:rsidRDefault="003019E2" w:rsidP="00FD2CDA">
            <w:pPr>
              <w:spacing w:after="0" w:line="240" w:lineRule="exact"/>
              <w:jc w:val="right"/>
              <w:rPr>
                <w:rFonts w:ascii="Noto Sans" w:hAnsi="Noto Sans" w:cs="Noto Sans"/>
                <w:sz w:val="15"/>
                <w:szCs w:val="15"/>
              </w:rPr>
            </w:pPr>
          </w:p>
        </w:tc>
      </w:tr>
      <w:tr w:rsidR="005F22A6" w:rsidRPr="00FC0913" w14:paraId="2B2DB263" w14:textId="77777777" w:rsidTr="00FD2CDA">
        <w:trPr>
          <w:trHeight w:val="227"/>
          <w:jc w:val="center"/>
        </w:trPr>
        <w:tc>
          <w:tcPr>
            <w:tcW w:w="1871" w:type="dxa"/>
            <w:tcBorders>
              <w:top w:val="nil"/>
              <w:left w:val="nil"/>
              <w:bottom w:val="nil"/>
              <w:right w:val="nil"/>
            </w:tcBorders>
            <w:shd w:val="clear" w:color="000000" w:fill="F2F2F2"/>
            <w:vAlign w:val="center"/>
          </w:tcPr>
          <w:p w14:paraId="3CA94DDE" w14:textId="77777777" w:rsidR="005F22A6" w:rsidRPr="00001AF5" w:rsidRDefault="005F22A6" w:rsidP="005F22A6">
            <w:pPr>
              <w:spacing w:after="0" w:line="240" w:lineRule="exact"/>
              <w:rPr>
                <w:rFonts w:ascii="Noto Sans" w:hAnsi="Noto Sans" w:cs="Noto Sans"/>
                <w:sz w:val="15"/>
                <w:szCs w:val="15"/>
              </w:rPr>
            </w:pPr>
            <w:r w:rsidRPr="00001AF5">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461D152A" w14:textId="39F65DDD"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6,895,191</w:t>
            </w:r>
            <w:r w:rsidR="00471C81">
              <w:rPr>
                <w:rFonts w:ascii="Noto Sans" w:hAnsi="Noto Sans" w:cs="Noto Sans"/>
                <w:color w:val="000000"/>
                <w:sz w:val="15"/>
                <w:szCs w:val="15"/>
              </w:rPr>
              <w:t>.0</w:t>
            </w:r>
          </w:p>
        </w:tc>
        <w:tc>
          <w:tcPr>
            <w:tcW w:w="1531" w:type="dxa"/>
            <w:tcBorders>
              <w:top w:val="nil"/>
              <w:left w:val="nil"/>
              <w:bottom w:val="nil"/>
              <w:right w:val="nil"/>
            </w:tcBorders>
            <w:shd w:val="clear" w:color="000000" w:fill="F2F2F2"/>
            <w:vAlign w:val="center"/>
          </w:tcPr>
          <w:p w14:paraId="64C1CC17" w14:textId="38D71095"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19,375,486.7</w:t>
            </w:r>
          </w:p>
        </w:tc>
        <w:tc>
          <w:tcPr>
            <w:tcW w:w="1871" w:type="dxa"/>
            <w:tcBorders>
              <w:top w:val="nil"/>
              <w:left w:val="nil"/>
              <w:bottom w:val="nil"/>
              <w:right w:val="nil"/>
            </w:tcBorders>
            <w:shd w:val="clear" w:color="000000" w:fill="F2F2F2"/>
            <w:vAlign w:val="center"/>
          </w:tcPr>
          <w:p w14:paraId="79BF7468" w14:textId="441BC2EF"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-18,683,033.6</w:t>
            </w:r>
          </w:p>
        </w:tc>
        <w:tc>
          <w:tcPr>
            <w:tcW w:w="1531" w:type="dxa"/>
            <w:gridSpan w:val="2"/>
            <w:tcBorders>
              <w:top w:val="nil"/>
              <w:left w:val="nil"/>
              <w:bottom w:val="nil"/>
              <w:right w:val="nil"/>
            </w:tcBorders>
            <w:shd w:val="clear" w:color="000000" w:fill="F2F2F2"/>
            <w:vAlign w:val="center"/>
          </w:tcPr>
          <w:p w14:paraId="40E1A2C2" w14:textId="2398EA15"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692,453.1</w:t>
            </w:r>
          </w:p>
        </w:tc>
      </w:tr>
      <w:tr w:rsidR="005F22A6" w:rsidRPr="00FC0913" w14:paraId="217F6101" w14:textId="77777777" w:rsidTr="00FD2CDA">
        <w:trPr>
          <w:trHeight w:val="227"/>
          <w:jc w:val="center"/>
        </w:trPr>
        <w:tc>
          <w:tcPr>
            <w:tcW w:w="1871" w:type="dxa"/>
            <w:tcBorders>
              <w:top w:val="nil"/>
              <w:left w:val="nil"/>
              <w:bottom w:val="nil"/>
              <w:right w:val="nil"/>
            </w:tcBorders>
            <w:shd w:val="clear" w:color="000000" w:fill="F2F2F2"/>
            <w:vAlign w:val="center"/>
          </w:tcPr>
          <w:p w14:paraId="13214580" w14:textId="77777777" w:rsidR="005F22A6" w:rsidRPr="00001AF5" w:rsidRDefault="005F22A6" w:rsidP="005F22A6">
            <w:pPr>
              <w:spacing w:after="0" w:line="240" w:lineRule="exact"/>
              <w:rPr>
                <w:rFonts w:ascii="Noto Sans" w:hAnsi="Noto Sans" w:cs="Noto Sans"/>
                <w:sz w:val="15"/>
                <w:szCs w:val="15"/>
              </w:rPr>
            </w:pPr>
            <w:r w:rsidRPr="00001AF5">
              <w:rPr>
                <w:rFonts w:ascii="Noto Sans" w:hAnsi="Noto Sans" w:cs="Noto Sans"/>
                <w:sz w:val="15"/>
                <w:szCs w:val="15"/>
              </w:rPr>
              <w:t>Clase II Serie A</w:t>
            </w:r>
          </w:p>
        </w:tc>
        <w:tc>
          <w:tcPr>
            <w:tcW w:w="1531" w:type="dxa"/>
            <w:tcBorders>
              <w:top w:val="nil"/>
              <w:left w:val="nil"/>
              <w:bottom w:val="nil"/>
              <w:right w:val="nil"/>
            </w:tcBorders>
            <w:shd w:val="clear" w:color="000000" w:fill="F2F2F2"/>
            <w:vAlign w:val="center"/>
          </w:tcPr>
          <w:p w14:paraId="7E74088D" w14:textId="145F494D"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11,945,444</w:t>
            </w:r>
            <w:r w:rsidR="00471C81">
              <w:rPr>
                <w:rFonts w:ascii="Noto Sans" w:hAnsi="Noto Sans" w:cs="Noto Sans"/>
                <w:color w:val="000000"/>
                <w:sz w:val="15"/>
                <w:szCs w:val="15"/>
              </w:rPr>
              <w:t>.0</w:t>
            </w:r>
          </w:p>
        </w:tc>
        <w:tc>
          <w:tcPr>
            <w:tcW w:w="1531" w:type="dxa"/>
            <w:tcBorders>
              <w:top w:val="nil"/>
              <w:left w:val="nil"/>
              <w:bottom w:val="nil"/>
              <w:right w:val="nil"/>
            </w:tcBorders>
            <w:shd w:val="clear" w:color="000000" w:fill="F2F2F2"/>
            <w:vAlign w:val="center"/>
          </w:tcPr>
          <w:p w14:paraId="44790D3F" w14:textId="7C4CF5CF"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33,686,152.</w:t>
            </w:r>
            <w:r w:rsidR="00394381">
              <w:rPr>
                <w:rFonts w:ascii="Noto Sans" w:hAnsi="Noto Sans" w:cs="Noto Sans"/>
                <w:color w:val="000000"/>
                <w:sz w:val="15"/>
                <w:szCs w:val="15"/>
              </w:rPr>
              <w:t>1</w:t>
            </w:r>
          </w:p>
        </w:tc>
        <w:tc>
          <w:tcPr>
            <w:tcW w:w="1871" w:type="dxa"/>
            <w:tcBorders>
              <w:top w:val="nil"/>
              <w:left w:val="nil"/>
              <w:bottom w:val="nil"/>
              <w:right w:val="nil"/>
            </w:tcBorders>
            <w:shd w:val="clear" w:color="000000" w:fill="F2F2F2"/>
            <w:vAlign w:val="center"/>
          </w:tcPr>
          <w:p w14:paraId="72FE05D2" w14:textId="02728C41"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-20,651,91</w:t>
            </w:r>
            <w:r w:rsidR="00471C81">
              <w:rPr>
                <w:rFonts w:ascii="Noto Sans" w:hAnsi="Noto Sans" w:cs="Noto Sans"/>
                <w:color w:val="000000"/>
                <w:sz w:val="15"/>
                <w:szCs w:val="15"/>
              </w:rPr>
              <w:t>9</w:t>
            </w:r>
            <w:r>
              <w:rPr>
                <w:rFonts w:ascii="Noto Sans" w:hAnsi="Noto Sans" w:cs="Noto Sans"/>
                <w:color w:val="000000"/>
                <w:sz w:val="15"/>
                <w:szCs w:val="15"/>
              </w:rPr>
              <w:t>.</w:t>
            </w:r>
            <w:r w:rsidR="00471C81">
              <w:rPr>
                <w:rFonts w:ascii="Noto Sans" w:hAnsi="Noto Sans" w:cs="Noto Sans"/>
                <w:color w:val="000000"/>
                <w:sz w:val="15"/>
                <w:szCs w:val="15"/>
              </w:rPr>
              <w:t>0</w:t>
            </w:r>
          </w:p>
        </w:tc>
        <w:tc>
          <w:tcPr>
            <w:tcW w:w="1531" w:type="dxa"/>
            <w:gridSpan w:val="2"/>
            <w:tcBorders>
              <w:top w:val="nil"/>
              <w:left w:val="nil"/>
              <w:bottom w:val="nil"/>
              <w:right w:val="nil"/>
            </w:tcBorders>
            <w:shd w:val="clear" w:color="000000" w:fill="F2F2F2"/>
            <w:vAlign w:val="center"/>
          </w:tcPr>
          <w:p w14:paraId="163244A0" w14:textId="5CCABF59"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13,034,233.</w:t>
            </w:r>
            <w:r w:rsidR="00903691">
              <w:rPr>
                <w:rFonts w:ascii="Noto Sans" w:hAnsi="Noto Sans" w:cs="Noto Sans"/>
                <w:color w:val="000000"/>
                <w:sz w:val="15"/>
                <w:szCs w:val="15"/>
              </w:rPr>
              <w:t>1</w:t>
            </w:r>
          </w:p>
        </w:tc>
      </w:tr>
      <w:tr w:rsidR="005F22A6" w:rsidRPr="00FC0913" w14:paraId="04ECAF34" w14:textId="77777777" w:rsidTr="00FD2CDA">
        <w:trPr>
          <w:trHeight w:val="227"/>
          <w:jc w:val="center"/>
        </w:trPr>
        <w:tc>
          <w:tcPr>
            <w:tcW w:w="1871" w:type="dxa"/>
            <w:tcBorders>
              <w:top w:val="nil"/>
              <w:left w:val="nil"/>
              <w:bottom w:val="nil"/>
              <w:right w:val="nil"/>
            </w:tcBorders>
            <w:shd w:val="clear" w:color="000000" w:fill="F2F2F2"/>
            <w:vAlign w:val="center"/>
          </w:tcPr>
          <w:p w14:paraId="2EB923A7" w14:textId="77777777" w:rsidR="005F22A6" w:rsidRPr="00001AF5" w:rsidRDefault="005F22A6" w:rsidP="005F22A6">
            <w:pPr>
              <w:spacing w:after="0" w:line="240" w:lineRule="exact"/>
              <w:rPr>
                <w:rFonts w:ascii="Noto Sans" w:hAnsi="Noto Sans" w:cs="Noto Sans"/>
                <w:b/>
                <w:sz w:val="15"/>
                <w:szCs w:val="15"/>
              </w:rPr>
            </w:pPr>
            <w:r w:rsidRPr="00001AF5">
              <w:rPr>
                <w:rFonts w:ascii="Noto Sans" w:hAnsi="Noto Sans" w:cs="Noto Sans"/>
                <w:b/>
                <w:sz w:val="15"/>
                <w:szCs w:val="15"/>
              </w:rPr>
              <w:t>RJP S1</w:t>
            </w:r>
          </w:p>
        </w:tc>
        <w:tc>
          <w:tcPr>
            <w:tcW w:w="1531" w:type="dxa"/>
            <w:tcBorders>
              <w:top w:val="nil"/>
              <w:left w:val="nil"/>
              <w:bottom w:val="nil"/>
              <w:right w:val="nil"/>
            </w:tcBorders>
            <w:shd w:val="clear" w:color="000000" w:fill="F2F2F2"/>
            <w:vAlign w:val="center"/>
          </w:tcPr>
          <w:p w14:paraId="0F9991AA" w14:textId="44963B6F"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 </w:t>
            </w:r>
          </w:p>
        </w:tc>
        <w:tc>
          <w:tcPr>
            <w:tcW w:w="1531" w:type="dxa"/>
            <w:tcBorders>
              <w:top w:val="nil"/>
              <w:left w:val="nil"/>
              <w:bottom w:val="nil"/>
              <w:right w:val="nil"/>
            </w:tcBorders>
            <w:shd w:val="clear" w:color="000000" w:fill="F2F2F2"/>
            <w:vAlign w:val="center"/>
          </w:tcPr>
          <w:p w14:paraId="1175F1FD" w14:textId="1C24EDE9"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 </w:t>
            </w:r>
          </w:p>
        </w:tc>
        <w:tc>
          <w:tcPr>
            <w:tcW w:w="1871" w:type="dxa"/>
            <w:tcBorders>
              <w:top w:val="nil"/>
              <w:left w:val="nil"/>
              <w:bottom w:val="nil"/>
              <w:right w:val="nil"/>
            </w:tcBorders>
            <w:shd w:val="clear" w:color="000000" w:fill="F2F2F2"/>
            <w:vAlign w:val="center"/>
          </w:tcPr>
          <w:p w14:paraId="74D13878" w14:textId="3B53173D"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 </w:t>
            </w:r>
          </w:p>
        </w:tc>
        <w:tc>
          <w:tcPr>
            <w:tcW w:w="1531" w:type="dxa"/>
            <w:gridSpan w:val="2"/>
            <w:tcBorders>
              <w:top w:val="nil"/>
              <w:left w:val="nil"/>
              <w:bottom w:val="nil"/>
              <w:right w:val="nil"/>
            </w:tcBorders>
            <w:shd w:val="clear" w:color="000000" w:fill="F2F2F2"/>
            <w:vAlign w:val="center"/>
          </w:tcPr>
          <w:p w14:paraId="19705153" w14:textId="47782EE4"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 </w:t>
            </w:r>
          </w:p>
        </w:tc>
      </w:tr>
      <w:tr w:rsidR="005F22A6" w:rsidRPr="00FC0913" w14:paraId="752736FC" w14:textId="77777777" w:rsidTr="00FD2CDA">
        <w:trPr>
          <w:trHeight w:val="227"/>
          <w:jc w:val="center"/>
        </w:trPr>
        <w:tc>
          <w:tcPr>
            <w:tcW w:w="1871" w:type="dxa"/>
            <w:tcBorders>
              <w:top w:val="nil"/>
              <w:left w:val="nil"/>
              <w:bottom w:val="nil"/>
              <w:right w:val="nil"/>
            </w:tcBorders>
            <w:shd w:val="clear" w:color="000000" w:fill="F2F2F2"/>
            <w:vAlign w:val="center"/>
          </w:tcPr>
          <w:p w14:paraId="070A0D66" w14:textId="77777777" w:rsidR="005F22A6" w:rsidRPr="00001AF5" w:rsidRDefault="005F22A6" w:rsidP="005F22A6">
            <w:pPr>
              <w:spacing w:after="0" w:line="240" w:lineRule="exact"/>
              <w:rPr>
                <w:rFonts w:ascii="Noto Sans" w:hAnsi="Noto Sans" w:cs="Noto Sans"/>
                <w:sz w:val="15"/>
                <w:szCs w:val="15"/>
              </w:rPr>
            </w:pPr>
            <w:r w:rsidRPr="00001AF5">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27B0BBAD" w14:textId="5D44A9B4"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6,895,192</w:t>
            </w:r>
            <w:r w:rsidR="00471C81">
              <w:rPr>
                <w:rFonts w:ascii="Noto Sans" w:hAnsi="Noto Sans" w:cs="Noto Sans"/>
                <w:color w:val="000000"/>
                <w:sz w:val="15"/>
                <w:szCs w:val="15"/>
              </w:rPr>
              <w:t>.0</w:t>
            </w:r>
          </w:p>
        </w:tc>
        <w:tc>
          <w:tcPr>
            <w:tcW w:w="1531" w:type="dxa"/>
            <w:tcBorders>
              <w:top w:val="nil"/>
              <w:left w:val="nil"/>
              <w:bottom w:val="nil"/>
              <w:right w:val="nil"/>
            </w:tcBorders>
            <w:shd w:val="clear" w:color="000000" w:fill="F2F2F2"/>
            <w:vAlign w:val="center"/>
          </w:tcPr>
          <w:p w14:paraId="421CA979" w14:textId="49A0D31F"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19,375,489.5</w:t>
            </w:r>
          </w:p>
        </w:tc>
        <w:tc>
          <w:tcPr>
            <w:tcW w:w="1871" w:type="dxa"/>
            <w:tcBorders>
              <w:top w:val="nil"/>
              <w:left w:val="nil"/>
              <w:bottom w:val="nil"/>
              <w:right w:val="nil"/>
            </w:tcBorders>
            <w:shd w:val="clear" w:color="000000" w:fill="F2F2F2"/>
            <w:vAlign w:val="center"/>
          </w:tcPr>
          <w:p w14:paraId="609E67B0" w14:textId="7F7B442B"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-18,683,036.8</w:t>
            </w:r>
          </w:p>
        </w:tc>
        <w:tc>
          <w:tcPr>
            <w:tcW w:w="1531" w:type="dxa"/>
            <w:gridSpan w:val="2"/>
            <w:tcBorders>
              <w:top w:val="nil"/>
              <w:left w:val="nil"/>
              <w:bottom w:val="nil"/>
              <w:right w:val="nil"/>
            </w:tcBorders>
            <w:shd w:val="clear" w:color="000000" w:fill="F2F2F2"/>
            <w:vAlign w:val="center"/>
          </w:tcPr>
          <w:p w14:paraId="37FCB7E2" w14:textId="691BA41A"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692,452.7</w:t>
            </w:r>
          </w:p>
        </w:tc>
      </w:tr>
      <w:tr w:rsidR="005F22A6" w:rsidRPr="005946C5" w14:paraId="72ECAA52" w14:textId="77777777" w:rsidTr="00FD2CDA">
        <w:trPr>
          <w:trHeight w:val="227"/>
          <w:jc w:val="center"/>
        </w:trPr>
        <w:tc>
          <w:tcPr>
            <w:tcW w:w="1871" w:type="dxa"/>
            <w:tcBorders>
              <w:top w:val="nil"/>
              <w:left w:val="nil"/>
              <w:bottom w:val="single" w:sz="12" w:space="0" w:color="A6802D"/>
              <w:right w:val="nil"/>
            </w:tcBorders>
            <w:shd w:val="clear" w:color="000000" w:fill="F2F2F2"/>
            <w:vAlign w:val="center"/>
          </w:tcPr>
          <w:p w14:paraId="7C75523C" w14:textId="77777777" w:rsidR="005F22A6" w:rsidRPr="00001AF5" w:rsidRDefault="005F22A6" w:rsidP="005F22A6">
            <w:pPr>
              <w:spacing w:after="0" w:line="240" w:lineRule="exact"/>
              <w:rPr>
                <w:rFonts w:ascii="Noto Sans" w:hAnsi="Noto Sans" w:cs="Noto Sans"/>
                <w:sz w:val="15"/>
                <w:szCs w:val="15"/>
              </w:rPr>
            </w:pPr>
            <w:r w:rsidRPr="00001AF5">
              <w:rPr>
                <w:rFonts w:ascii="Noto Sans" w:hAnsi="Noto Sans" w:cs="Noto Sans"/>
                <w:sz w:val="15"/>
                <w:szCs w:val="15"/>
              </w:rPr>
              <w:t>Clase II Serie A</w:t>
            </w:r>
          </w:p>
        </w:tc>
        <w:tc>
          <w:tcPr>
            <w:tcW w:w="1531" w:type="dxa"/>
            <w:tcBorders>
              <w:top w:val="nil"/>
              <w:left w:val="nil"/>
              <w:bottom w:val="single" w:sz="12" w:space="0" w:color="A6802D"/>
              <w:right w:val="nil"/>
            </w:tcBorders>
            <w:shd w:val="clear" w:color="000000" w:fill="F2F2F2"/>
            <w:vAlign w:val="center"/>
          </w:tcPr>
          <w:p w14:paraId="3BE0CF31" w14:textId="662AEE7B"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11,945,445</w:t>
            </w:r>
            <w:r w:rsidR="00471C81">
              <w:rPr>
                <w:rFonts w:ascii="Noto Sans" w:hAnsi="Noto Sans" w:cs="Noto Sans"/>
                <w:color w:val="000000"/>
                <w:sz w:val="15"/>
                <w:szCs w:val="15"/>
              </w:rPr>
              <w:t>.0</w:t>
            </w:r>
          </w:p>
        </w:tc>
        <w:tc>
          <w:tcPr>
            <w:tcW w:w="1531" w:type="dxa"/>
            <w:tcBorders>
              <w:top w:val="nil"/>
              <w:left w:val="nil"/>
              <w:bottom w:val="single" w:sz="12" w:space="0" w:color="A6802D"/>
              <w:right w:val="nil"/>
            </w:tcBorders>
            <w:shd w:val="clear" w:color="000000" w:fill="F2F2F2"/>
            <w:vAlign w:val="center"/>
          </w:tcPr>
          <w:p w14:paraId="3A796D55" w14:textId="39D025CD"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33,686,154.9</w:t>
            </w:r>
          </w:p>
        </w:tc>
        <w:tc>
          <w:tcPr>
            <w:tcW w:w="1871" w:type="dxa"/>
            <w:tcBorders>
              <w:top w:val="nil"/>
              <w:left w:val="nil"/>
              <w:bottom w:val="single" w:sz="12" w:space="0" w:color="A6802D"/>
              <w:right w:val="nil"/>
            </w:tcBorders>
            <w:shd w:val="clear" w:color="000000" w:fill="F2F2F2"/>
            <w:vAlign w:val="center"/>
          </w:tcPr>
          <w:p w14:paraId="5F642A3F" w14:textId="78BC4BAD"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-20,651,91</w:t>
            </w:r>
            <w:r w:rsidR="00471C81">
              <w:rPr>
                <w:rFonts w:ascii="Noto Sans" w:hAnsi="Noto Sans" w:cs="Noto Sans"/>
                <w:color w:val="000000"/>
                <w:sz w:val="15"/>
                <w:szCs w:val="15"/>
              </w:rPr>
              <w:t>9</w:t>
            </w:r>
            <w:r>
              <w:rPr>
                <w:rFonts w:ascii="Noto Sans" w:hAnsi="Noto Sans" w:cs="Noto Sans"/>
                <w:color w:val="000000"/>
                <w:sz w:val="15"/>
                <w:szCs w:val="15"/>
              </w:rPr>
              <w:t>.</w:t>
            </w:r>
            <w:r w:rsidR="00471C81">
              <w:rPr>
                <w:rFonts w:ascii="Noto Sans" w:hAnsi="Noto Sans" w:cs="Noto Sans"/>
                <w:color w:val="000000"/>
                <w:sz w:val="15"/>
                <w:szCs w:val="15"/>
              </w:rPr>
              <w:t>0</w:t>
            </w:r>
          </w:p>
        </w:tc>
        <w:tc>
          <w:tcPr>
            <w:tcW w:w="1531" w:type="dxa"/>
            <w:gridSpan w:val="2"/>
            <w:tcBorders>
              <w:top w:val="nil"/>
              <w:left w:val="nil"/>
              <w:bottom w:val="single" w:sz="12" w:space="0" w:color="A6802D"/>
              <w:right w:val="nil"/>
            </w:tcBorders>
            <w:shd w:val="clear" w:color="000000" w:fill="F2F2F2"/>
            <w:vAlign w:val="center"/>
          </w:tcPr>
          <w:p w14:paraId="20B5A0F5" w14:textId="6473736D" w:rsidR="005F22A6" w:rsidRPr="00001AF5" w:rsidRDefault="005F22A6" w:rsidP="005F22A6">
            <w:pPr>
              <w:spacing w:after="0" w:line="240" w:lineRule="exact"/>
              <w:jc w:val="right"/>
              <w:rPr>
                <w:rFonts w:ascii="Noto Sans" w:hAnsi="Noto Sans" w:cs="Noto Sans"/>
                <w:sz w:val="15"/>
                <w:szCs w:val="15"/>
              </w:rPr>
            </w:pPr>
            <w:r>
              <w:rPr>
                <w:rFonts w:ascii="Noto Sans" w:hAnsi="Noto Sans" w:cs="Noto Sans"/>
                <w:color w:val="000000"/>
                <w:sz w:val="15"/>
                <w:szCs w:val="15"/>
              </w:rPr>
              <w:t>13,034,235.9</w:t>
            </w:r>
          </w:p>
        </w:tc>
      </w:tr>
      <w:tr w:rsidR="003019E2" w:rsidRPr="00274555" w14:paraId="7F74E20D" w14:textId="77777777" w:rsidTr="00FD2CDA">
        <w:trPr>
          <w:gridAfter w:val="1"/>
          <w:wAfter w:w="42" w:type="dxa"/>
          <w:trHeight w:val="227"/>
          <w:jc w:val="center"/>
        </w:trPr>
        <w:tc>
          <w:tcPr>
            <w:tcW w:w="8293" w:type="dxa"/>
            <w:gridSpan w:val="5"/>
            <w:tcBorders>
              <w:top w:val="single" w:sz="12" w:space="0" w:color="A6802D"/>
              <w:left w:val="nil"/>
              <w:right w:val="nil"/>
            </w:tcBorders>
            <w:vAlign w:val="center"/>
          </w:tcPr>
          <w:p w14:paraId="7C4F0B63" w14:textId="77777777" w:rsidR="003019E2" w:rsidRPr="00274555" w:rsidRDefault="003019E2" w:rsidP="00FD2CDA">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9FFA2C6" w14:textId="77777777" w:rsidR="003019E2" w:rsidRDefault="003019E2" w:rsidP="006C6B52">
      <w:pPr>
        <w:pStyle w:val="TEXTONORMAL"/>
      </w:pPr>
    </w:p>
    <w:p w14:paraId="1C0F71A5" w14:textId="77777777" w:rsidR="006C6B52" w:rsidRDefault="006C6B52" w:rsidP="006C6B52">
      <w:pPr>
        <w:pStyle w:val="TEXTONORMAL"/>
      </w:pPr>
    </w:p>
    <w:tbl>
      <w:tblPr>
        <w:tblW w:w="0" w:type="auto"/>
        <w:jc w:val="center"/>
        <w:tblCellMar>
          <w:left w:w="70" w:type="dxa"/>
          <w:right w:w="70" w:type="dxa"/>
        </w:tblCellMar>
        <w:tblLook w:val="0480" w:firstRow="0" w:lastRow="0" w:firstColumn="1" w:lastColumn="0" w:noHBand="0" w:noVBand="1"/>
      </w:tblPr>
      <w:tblGrid>
        <w:gridCol w:w="1871"/>
        <w:gridCol w:w="1531"/>
        <w:gridCol w:w="1531"/>
        <w:gridCol w:w="1871"/>
        <w:gridCol w:w="1489"/>
        <w:gridCol w:w="42"/>
      </w:tblGrid>
      <w:tr w:rsidR="006C6B52" w:rsidRPr="005946C5" w14:paraId="42D41986" w14:textId="77777777" w:rsidTr="00001AF5">
        <w:trPr>
          <w:trHeight w:val="83"/>
          <w:jc w:val="center"/>
        </w:trPr>
        <w:tc>
          <w:tcPr>
            <w:tcW w:w="187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7879099"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Reserva</w:t>
            </w:r>
          </w:p>
        </w:tc>
        <w:tc>
          <w:tcPr>
            <w:tcW w:w="6463" w:type="dxa"/>
            <w:gridSpan w:val="5"/>
            <w:tcBorders>
              <w:top w:val="double" w:sz="12" w:space="0" w:color="A6802D"/>
              <w:left w:val="nil"/>
              <w:bottom w:val="single" w:sz="12" w:space="0" w:color="FFFFFF" w:themeColor="background1"/>
            </w:tcBorders>
            <w:shd w:val="clear" w:color="auto" w:fill="A6802D"/>
          </w:tcPr>
          <w:p w14:paraId="46C30643" w14:textId="77777777" w:rsidR="006C6B52" w:rsidRPr="008E629A" w:rsidRDefault="00001AF5"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2024 </w:t>
            </w:r>
            <w:proofErr w:type="gramStart"/>
            <w:r w:rsidR="006C6B52" w:rsidRPr="008E629A">
              <w:rPr>
                <w:rFonts w:ascii="Noto Sans" w:eastAsia="Times New Roman" w:hAnsi="Noto Sans" w:cs="Noto Sans"/>
                <w:b/>
                <w:bCs/>
                <w:color w:val="FFFFFF"/>
                <w:sz w:val="16"/>
                <w:szCs w:val="16"/>
                <w:lang w:eastAsia="es-MX"/>
              </w:rPr>
              <w:t>Cifras</w:t>
            </w:r>
            <w:proofErr w:type="gramEnd"/>
            <w:r w:rsidR="006C6B52" w:rsidRPr="008E629A">
              <w:rPr>
                <w:rFonts w:ascii="Noto Sans" w:eastAsia="Times New Roman" w:hAnsi="Noto Sans" w:cs="Noto Sans"/>
                <w:b/>
                <w:bCs/>
                <w:color w:val="FFFFFF"/>
                <w:sz w:val="16"/>
                <w:szCs w:val="16"/>
                <w:lang w:eastAsia="es-MX"/>
              </w:rPr>
              <w:t xml:space="preserve"> en pesos</w:t>
            </w:r>
          </w:p>
        </w:tc>
      </w:tr>
      <w:tr w:rsidR="006C6B52" w:rsidRPr="005946C5" w14:paraId="3925BDE0" w14:textId="77777777" w:rsidTr="00001AF5">
        <w:trPr>
          <w:trHeight w:val="28"/>
          <w:jc w:val="center"/>
        </w:trPr>
        <w:tc>
          <w:tcPr>
            <w:tcW w:w="1871" w:type="dxa"/>
            <w:vMerge/>
            <w:tcBorders>
              <w:top w:val="single" w:sz="12" w:space="0" w:color="808080"/>
              <w:left w:val="nil"/>
              <w:bottom w:val="triple" w:sz="12" w:space="0" w:color="A6802D"/>
              <w:right w:val="single" w:sz="12" w:space="0" w:color="FFFFFF"/>
            </w:tcBorders>
            <w:shd w:val="clear" w:color="auto" w:fill="A6802D"/>
            <w:vAlign w:val="center"/>
            <w:hideMark/>
          </w:tcPr>
          <w:p w14:paraId="5DE3F3B5"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p>
        </w:tc>
        <w:tc>
          <w:tcPr>
            <w:tcW w:w="1531" w:type="dxa"/>
            <w:tcBorders>
              <w:top w:val="single" w:sz="12" w:space="0" w:color="FFFFFF" w:themeColor="background1"/>
              <w:left w:val="nil"/>
              <w:bottom w:val="triple" w:sz="12" w:space="0" w:color="A6802D"/>
              <w:right w:val="single" w:sz="12" w:space="0" w:color="FFFFFF" w:themeColor="background1"/>
            </w:tcBorders>
            <w:shd w:val="clear" w:color="auto" w:fill="A6802D"/>
          </w:tcPr>
          <w:p w14:paraId="0D095248"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Acciones</w:t>
            </w:r>
          </w:p>
        </w:tc>
        <w:tc>
          <w:tcPr>
            <w:tcW w:w="1531"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tcPr>
          <w:p w14:paraId="39A63A5F"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871"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391A1A6A" w14:textId="77777777" w:rsidR="006C6B52" w:rsidRPr="008E629A" w:rsidRDefault="006C6B52" w:rsidP="006C6B5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 Registrado</w:t>
            </w:r>
          </w:p>
        </w:tc>
        <w:tc>
          <w:tcPr>
            <w:tcW w:w="1531" w:type="dxa"/>
            <w:gridSpan w:val="2"/>
            <w:tcBorders>
              <w:top w:val="single" w:sz="12" w:space="0" w:color="FFFFFF" w:themeColor="background1"/>
              <w:left w:val="nil"/>
              <w:bottom w:val="triple" w:sz="12" w:space="0" w:color="A6802D"/>
            </w:tcBorders>
            <w:shd w:val="clear" w:color="auto" w:fill="A6802D"/>
            <w:vAlign w:val="center"/>
          </w:tcPr>
          <w:p w14:paraId="39742E6C" w14:textId="77777777" w:rsidR="006C6B52" w:rsidRPr="008E629A" w:rsidRDefault="006C6B5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Saldo contable </w:t>
            </w:r>
          </w:p>
        </w:tc>
      </w:tr>
      <w:tr w:rsidR="006C6B52" w:rsidRPr="005946C5" w14:paraId="26A16ED6" w14:textId="77777777" w:rsidTr="00947EC7">
        <w:trPr>
          <w:trHeight w:val="227"/>
          <w:jc w:val="center"/>
        </w:trPr>
        <w:tc>
          <w:tcPr>
            <w:tcW w:w="1871" w:type="dxa"/>
            <w:tcBorders>
              <w:top w:val="triple" w:sz="12" w:space="0" w:color="A6802D"/>
              <w:left w:val="nil"/>
              <w:bottom w:val="nil"/>
              <w:right w:val="nil"/>
            </w:tcBorders>
            <w:shd w:val="clear" w:color="000000" w:fill="F2F2F2"/>
            <w:vAlign w:val="center"/>
          </w:tcPr>
          <w:p w14:paraId="77F20FA4" w14:textId="77777777" w:rsidR="006C6B52" w:rsidRPr="006C6B52" w:rsidRDefault="006C6B52" w:rsidP="00001AF5">
            <w:pPr>
              <w:tabs>
                <w:tab w:val="left" w:pos="1190"/>
              </w:tabs>
              <w:spacing w:after="0" w:line="240" w:lineRule="exact"/>
              <w:rPr>
                <w:rFonts w:ascii="Noto Sans" w:hAnsi="Noto Sans" w:cs="Noto Sans"/>
                <w:b/>
                <w:sz w:val="15"/>
                <w:szCs w:val="15"/>
              </w:rPr>
            </w:pPr>
            <w:r w:rsidRPr="006C6B52">
              <w:rPr>
                <w:rFonts w:ascii="Noto Sans" w:hAnsi="Noto Sans" w:cs="Noto Sans"/>
                <w:b/>
                <w:sz w:val="15"/>
                <w:szCs w:val="15"/>
              </w:rPr>
              <w:t>RFA-SRT</w:t>
            </w:r>
            <w:r w:rsidRPr="006C6B52">
              <w:rPr>
                <w:rFonts w:ascii="Noto Sans" w:hAnsi="Noto Sans" w:cs="Noto Sans"/>
                <w:b/>
                <w:sz w:val="15"/>
                <w:szCs w:val="15"/>
              </w:rPr>
              <w:tab/>
            </w:r>
          </w:p>
        </w:tc>
        <w:tc>
          <w:tcPr>
            <w:tcW w:w="1531" w:type="dxa"/>
            <w:tcBorders>
              <w:top w:val="triple" w:sz="12" w:space="0" w:color="A6802D"/>
              <w:left w:val="nil"/>
              <w:bottom w:val="nil"/>
              <w:right w:val="nil"/>
            </w:tcBorders>
            <w:shd w:val="clear" w:color="000000" w:fill="F2F2F2"/>
            <w:vAlign w:val="center"/>
          </w:tcPr>
          <w:p w14:paraId="1C4EFB8B" w14:textId="77777777" w:rsidR="006C6B52" w:rsidRPr="006C6B52" w:rsidRDefault="006C6B52" w:rsidP="00001AF5">
            <w:pPr>
              <w:spacing w:after="0" w:line="240" w:lineRule="exact"/>
              <w:jc w:val="right"/>
              <w:rPr>
                <w:rFonts w:ascii="Noto Sans" w:hAnsi="Noto Sans" w:cs="Noto Sans"/>
                <w:sz w:val="15"/>
                <w:szCs w:val="15"/>
              </w:rPr>
            </w:pPr>
          </w:p>
        </w:tc>
        <w:tc>
          <w:tcPr>
            <w:tcW w:w="1531" w:type="dxa"/>
            <w:tcBorders>
              <w:top w:val="triple" w:sz="12" w:space="0" w:color="A6802D"/>
              <w:left w:val="nil"/>
              <w:bottom w:val="nil"/>
              <w:right w:val="nil"/>
            </w:tcBorders>
            <w:shd w:val="clear" w:color="000000" w:fill="F2F2F2"/>
            <w:vAlign w:val="center"/>
          </w:tcPr>
          <w:p w14:paraId="1D14CBCE" w14:textId="77777777" w:rsidR="006C6B52" w:rsidRPr="006C6B52" w:rsidRDefault="006C6B52" w:rsidP="00001AF5">
            <w:pPr>
              <w:spacing w:after="0" w:line="240" w:lineRule="exact"/>
              <w:jc w:val="right"/>
              <w:rPr>
                <w:rFonts w:ascii="Noto Sans" w:hAnsi="Noto Sans" w:cs="Noto Sans"/>
                <w:sz w:val="15"/>
                <w:szCs w:val="15"/>
              </w:rPr>
            </w:pPr>
          </w:p>
        </w:tc>
        <w:tc>
          <w:tcPr>
            <w:tcW w:w="1871" w:type="dxa"/>
            <w:tcBorders>
              <w:top w:val="triple" w:sz="12" w:space="0" w:color="A6802D"/>
              <w:left w:val="nil"/>
              <w:bottom w:val="nil"/>
              <w:right w:val="nil"/>
            </w:tcBorders>
            <w:shd w:val="clear" w:color="000000" w:fill="F2F2F2"/>
            <w:vAlign w:val="center"/>
          </w:tcPr>
          <w:p w14:paraId="41DB5C2D" w14:textId="77777777" w:rsidR="006C6B52" w:rsidRPr="006C6B52" w:rsidRDefault="006C6B52" w:rsidP="00001AF5">
            <w:pPr>
              <w:spacing w:after="0" w:line="240" w:lineRule="exact"/>
              <w:jc w:val="right"/>
              <w:rPr>
                <w:rFonts w:ascii="Noto Sans" w:hAnsi="Noto Sans" w:cs="Noto Sans"/>
                <w:sz w:val="15"/>
                <w:szCs w:val="15"/>
              </w:rPr>
            </w:pPr>
          </w:p>
        </w:tc>
        <w:tc>
          <w:tcPr>
            <w:tcW w:w="1531" w:type="dxa"/>
            <w:gridSpan w:val="2"/>
            <w:tcBorders>
              <w:top w:val="triple" w:sz="12" w:space="0" w:color="A6802D"/>
              <w:left w:val="nil"/>
              <w:bottom w:val="nil"/>
              <w:right w:val="nil"/>
            </w:tcBorders>
            <w:shd w:val="clear" w:color="000000" w:fill="F2F2F2"/>
            <w:vAlign w:val="center"/>
          </w:tcPr>
          <w:p w14:paraId="176C08FC" w14:textId="77777777" w:rsidR="006C6B52" w:rsidRPr="006C6B52" w:rsidRDefault="006C6B52" w:rsidP="00001AF5">
            <w:pPr>
              <w:spacing w:after="0" w:line="240" w:lineRule="exact"/>
              <w:jc w:val="right"/>
              <w:rPr>
                <w:rFonts w:ascii="Noto Sans" w:hAnsi="Noto Sans" w:cs="Noto Sans"/>
                <w:sz w:val="15"/>
                <w:szCs w:val="15"/>
              </w:rPr>
            </w:pPr>
          </w:p>
        </w:tc>
      </w:tr>
      <w:tr w:rsidR="006C6B52" w:rsidRPr="00FC0913" w14:paraId="2708502B" w14:textId="77777777" w:rsidTr="00947EC7">
        <w:trPr>
          <w:trHeight w:val="227"/>
          <w:jc w:val="center"/>
        </w:trPr>
        <w:tc>
          <w:tcPr>
            <w:tcW w:w="1871" w:type="dxa"/>
            <w:tcBorders>
              <w:top w:val="nil"/>
              <w:left w:val="nil"/>
              <w:bottom w:val="nil"/>
              <w:right w:val="nil"/>
            </w:tcBorders>
            <w:shd w:val="clear" w:color="000000" w:fill="F2F2F2"/>
            <w:vAlign w:val="center"/>
          </w:tcPr>
          <w:p w14:paraId="1A25BF91"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3532DD84"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6,895,191 </w:t>
            </w:r>
          </w:p>
        </w:tc>
        <w:tc>
          <w:tcPr>
            <w:tcW w:w="1531" w:type="dxa"/>
            <w:tcBorders>
              <w:top w:val="nil"/>
              <w:left w:val="nil"/>
              <w:bottom w:val="nil"/>
              <w:right w:val="nil"/>
            </w:tcBorders>
            <w:shd w:val="clear" w:color="000000" w:fill="F2F2F2"/>
            <w:vAlign w:val="center"/>
          </w:tcPr>
          <w:p w14:paraId="7B68E17F"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19,375,486.7</w:t>
            </w:r>
          </w:p>
        </w:tc>
        <w:tc>
          <w:tcPr>
            <w:tcW w:w="1871" w:type="dxa"/>
            <w:tcBorders>
              <w:top w:val="nil"/>
              <w:left w:val="nil"/>
              <w:bottom w:val="nil"/>
              <w:right w:val="nil"/>
            </w:tcBorders>
            <w:shd w:val="clear" w:color="000000" w:fill="F2F2F2"/>
            <w:vAlign w:val="center"/>
          </w:tcPr>
          <w:p w14:paraId="019FCF75"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-18,683,033.6</w:t>
            </w:r>
          </w:p>
        </w:tc>
        <w:tc>
          <w:tcPr>
            <w:tcW w:w="1531" w:type="dxa"/>
            <w:gridSpan w:val="2"/>
            <w:tcBorders>
              <w:top w:val="nil"/>
              <w:left w:val="nil"/>
              <w:bottom w:val="nil"/>
              <w:right w:val="nil"/>
            </w:tcBorders>
            <w:shd w:val="clear" w:color="000000" w:fill="F2F2F2"/>
            <w:vAlign w:val="center"/>
          </w:tcPr>
          <w:p w14:paraId="6AE67AF7"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692,453.1 </w:t>
            </w:r>
          </w:p>
        </w:tc>
      </w:tr>
      <w:tr w:rsidR="006C6B52" w:rsidRPr="00FC0913" w14:paraId="62E7105B" w14:textId="77777777" w:rsidTr="00947EC7">
        <w:trPr>
          <w:trHeight w:val="227"/>
          <w:jc w:val="center"/>
        </w:trPr>
        <w:tc>
          <w:tcPr>
            <w:tcW w:w="1871" w:type="dxa"/>
            <w:tcBorders>
              <w:top w:val="nil"/>
              <w:left w:val="nil"/>
              <w:bottom w:val="nil"/>
              <w:right w:val="nil"/>
            </w:tcBorders>
            <w:shd w:val="clear" w:color="000000" w:fill="F2F2F2"/>
            <w:vAlign w:val="center"/>
          </w:tcPr>
          <w:p w14:paraId="04F838FF"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II Serie A</w:t>
            </w:r>
          </w:p>
        </w:tc>
        <w:tc>
          <w:tcPr>
            <w:tcW w:w="1531" w:type="dxa"/>
            <w:tcBorders>
              <w:top w:val="nil"/>
              <w:left w:val="nil"/>
              <w:bottom w:val="nil"/>
              <w:right w:val="nil"/>
            </w:tcBorders>
            <w:shd w:val="clear" w:color="000000" w:fill="F2F2F2"/>
            <w:vAlign w:val="center"/>
          </w:tcPr>
          <w:p w14:paraId="41AF4B07"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11,945,444 </w:t>
            </w:r>
          </w:p>
        </w:tc>
        <w:tc>
          <w:tcPr>
            <w:tcW w:w="1531" w:type="dxa"/>
            <w:tcBorders>
              <w:top w:val="nil"/>
              <w:left w:val="nil"/>
              <w:bottom w:val="nil"/>
              <w:right w:val="nil"/>
            </w:tcBorders>
            <w:shd w:val="clear" w:color="000000" w:fill="F2F2F2"/>
            <w:vAlign w:val="center"/>
          </w:tcPr>
          <w:p w14:paraId="7CDE34D0"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33,686,152.1</w:t>
            </w:r>
          </w:p>
        </w:tc>
        <w:tc>
          <w:tcPr>
            <w:tcW w:w="1871" w:type="dxa"/>
            <w:tcBorders>
              <w:top w:val="nil"/>
              <w:left w:val="nil"/>
              <w:bottom w:val="nil"/>
              <w:right w:val="nil"/>
            </w:tcBorders>
            <w:shd w:val="clear" w:color="000000" w:fill="F2F2F2"/>
            <w:vAlign w:val="center"/>
          </w:tcPr>
          <w:p w14:paraId="739D17A1"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-20,651,919.0</w:t>
            </w:r>
          </w:p>
        </w:tc>
        <w:tc>
          <w:tcPr>
            <w:tcW w:w="1531" w:type="dxa"/>
            <w:gridSpan w:val="2"/>
            <w:tcBorders>
              <w:top w:val="nil"/>
              <w:left w:val="nil"/>
              <w:bottom w:val="nil"/>
              <w:right w:val="nil"/>
            </w:tcBorders>
            <w:shd w:val="clear" w:color="000000" w:fill="F2F2F2"/>
            <w:vAlign w:val="center"/>
          </w:tcPr>
          <w:p w14:paraId="6CA0764B"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13,034,233.1 </w:t>
            </w:r>
          </w:p>
        </w:tc>
      </w:tr>
      <w:tr w:rsidR="006C6B52" w:rsidRPr="00FC0913" w14:paraId="21D8529A" w14:textId="77777777" w:rsidTr="00947EC7">
        <w:trPr>
          <w:trHeight w:val="227"/>
          <w:jc w:val="center"/>
        </w:trPr>
        <w:tc>
          <w:tcPr>
            <w:tcW w:w="1871" w:type="dxa"/>
            <w:tcBorders>
              <w:top w:val="nil"/>
              <w:left w:val="nil"/>
              <w:bottom w:val="nil"/>
              <w:right w:val="nil"/>
            </w:tcBorders>
            <w:shd w:val="clear" w:color="000000" w:fill="F2F2F2"/>
            <w:vAlign w:val="center"/>
          </w:tcPr>
          <w:p w14:paraId="556B6FAA" w14:textId="77777777" w:rsidR="006C6B52" w:rsidRPr="006C6B52" w:rsidRDefault="006C6B52" w:rsidP="00001AF5">
            <w:pPr>
              <w:spacing w:after="0" w:line="240" w:lineRule="exact"/>
              <w:rPr>
                <w:rFonts w:ascii="Noto Sans" w:hAnsi="Noto Sans" w:cs="Noto Sans"/>
                <w:b/>
                <w:sz w:val="15"/>
                <w:szCs w:val="15"/>
              </w:rPr>
            </w:pPr>
            <w:r w:rsidRPr="006C6B52">
              <w:rPr>
                <w:rFonts w:ascii="Noto Sans" w:hAnsi="Noto Sans" w:cs="Noto Sans"/>
                <w:b/>
                <w:sz w:val="15"/>
                <w:szCs w:val="15"/>
              </w:rPr>
              <w:t>RJP S1</w:t>
            </w:r>
          </w:p>
        </w:tc>
        <w:tc>
          <w:tcPr>
            <w:tcW w:w="1531" w:type="dxa"/>
            <w:tcBorders>
              <w:top w:val="nil"/>
              <w:left w:val="nil"/>
              <w:bottom w:val="nil"/>
              <w:right w:val="nil"/>
            </w:tcBorders>
            <w:shd w:val="clear" w:color="000000" w:fill="F2F2F2"/>
            <w:vAlign w:val="center"/>
          </w:tcPr>
          <w:p w14:paraId="15A7A939" w14:textId="77777777" w:rsidR="006C6B52" w:rsidRPr="006C6B52" w:rsidRDefault="006C6B52" w:rsidP="00001AF5">
            <w:pPr>
              <w:spacing w:after="0" w:line="240" w:lineRule="exact"/>
              <w:jc w:val="right"/>
              <w:rPr>
                <w:rFonts w:ascii="Noto Sans" w:hAnsi="Noto Sans" w:cs="Noto Sans"/>
                <w:sz w:val="15"/>
                <w:szCs w:val="15"/>
              </w:rPr>
            </w:pPr>
          </w:p>
        </w:tc>
        <w:tc>
          <w:tcPr>
            <w:tcW w:w="1531" w:type="dxa"/>
            <w:tcBorders>
              <w:top w:val="nil"/>
              <w:left w:val="nil"/>
              <w:bottom w:val="nil"/>
              <w:right w:val="nil"/>
            </w:tcBorders>
            <w:shd w:val="clear" w:color="000000" w:fill="F2F2F2"/>
            <w:vAlign w:val="center"/>
          </w:tcPr>
          <w:p w14:paraId="5C13A8BA" w14:textId="77777777" w:rsidR="006C6B52" w:rsidRPr="006C6B52" w:rsidRDefault="006C6B52" w:rsidP="00001AF5">
            <w:pPr>
              <w:spacing w:after="0" w:line="240" w:lineRule="exact"/>
              <w:jc w:val="right"/>
              <w:rPr>
                <w:rFonts w:ascii="Noto Sans" w:hAnsi="Noto Sans" w:cs="Noto Sans"/>
                <w:sz w:val="15"/>
                <w:szCs w:val="15"/>
              </w:rPr>
            </w:pPr>
          </w:p>
        </w:tc>
        <w:tc>
          <w:tcPr>
            <w:tcW w:w="1871" w:type="dxa"/>
            <w:tcBorders>
              <w:top w:val="nil"/>
              <w:left w:val="nil"/>
              <w:bottom w:val="nil"/>
              <w:right w:val="nil"/>
            </w:tcBorders>
            <w:shd w:val="clear" w:color="000000" w:fill="F2F2F2"/>
            <w:vAlign w:val="center"/>
          </w:tcPr>
          <w:p w14:paraId="793CCA2C" w14:textId="77777777" w:rsidR="006C6B52" w:rsidRPr="006C6B52" w:rsidRDefault="006C6B52" w:rsidP="00001AF5">
            <w:pPr>
              <w:spacing w:after="0" w:line="240" w:lineRule="exact"/>
              <w:jc w:val="right"/>
              <w:rPr>
                <w:rFonts w:ascii="Noto Sans" w:hAnsi="Noto Sans" w:cs="Noto Sans"/>
                <w:sz w:val="15"/>
                <w:szCs w:val="15"/>
              </w:rPr>
            </w:pPr>
          </w:p>
        </w:tc>
        <w:tc>
          <w:tcPr>
            <w:tcW w:w="1531" w:type="dxa"/>
            <w:gridSpan w:val="2"/>
            <w:tcBorders>
              <w:top w:val="nil"/>
              <w:left w:val="nil"/>
              <w:bottom w:val="nil"/>
              <w:right w:val="nil"/>
            </w:tcBorders>
            <w:shd w:val="clear" w:color="000000" w:fill="F2F2F2"/>
            <w:vAlign w:val="center"/>
          </w:tcPr>
          <w:p w14:paraId="2C24FBB0" w14:textId="77777777" w:rsidR="006C6B52" w:rsidRPr="006C6B52" w:rsidRDefault="006C6B52" w:rsidP="00001AF5">
            <w:pPr>
              <w:spacing w:after="0" w:line="240" w:lineRule="exact"/>
              <w:jc w:val="right"/>
              <w:rPr>
                <w:rFonts w:ascii="Noto Sans" w:hAnsi="Noto Sans" w:cs="Noto Sans"/>
                <w:sz w:val="15"/>
                <w:szCs w:val="15"/>
              </w:rPr>
            </w:pPr>
          </w:p>
        </w:tc>
      </w:tr>
      <w:tr w:rsidR="006C6B52" w:rsidRPr="00FC0913" w14:paraId="40F28223" w14:textId="77777777" w:rsidTr="00947EC7">
        <w:trPr>
          <w:trHeight w:val="227"/>
          <w:jc w:val="center"/>
        </w:trPr>
        <w:tc>
          <w:tcPr>
            <w:tcW w:w="1871" w:type="dxa"/>
            <w:tcBorders>
              <w:top w:val="nil"/>
              <w:left w:val="nil"/>
              <w:bottom w:val="nil"/>
              <w:right w:val="nil"/>
            </w:tcBorders>
            <w:shd w:val="clear" w:color="000000" w:fill="F2F2F2"/>
            <w:vAlign w:val="center"/>
          </w:tcPr>
          <w:p w14:paraId="02E59240"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 Serie A</w:t>
            </w:r>
          </w:p>
        </w:tc>
        <w:tc>
          <w:tcPr>
            <w:tcW w:w="1531" w:type="dxa"/>
            <w:tcBorders>
              <w:top w:val="nil"/>
              <w:left w:val="nil"/>
              <w:bottom w:val="nil"/>
              <w:right w:val="nil"/>
            </w:tcBorders>
            <w:shd w:val="clear" w:color="000000" w:fill="F2F2F2"/>
            <w:vAlign w:val="center"/>
          </w:tcPr>
          <w:p w14:paraId="3C284C7C"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6,895,192 </w:t>
            </w:r>
          </w:p>
        </w:tc>
        <w:tc>
          <w:tcPr>
            <w:tcW w:w="1531" w:type="dxa"/>
            <w:tcBorders>
              <w:top w:val="nil"/>
              <w:left w:val="nil"/>
              <w:bottom w:val="nil"/>
              <w:right w:val="nil"/>
            </w:tcBorders>
            <w:shd w:val="clear" w:color="000000" w:fill="F2F2F2"/>
            <w:vAlign w:val="center"/>
          </w:tcPr>
          <w:p w14:paraId="710B0378"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19,375,489.5</w:t>
            </w:r>
          </w:p>
        </w:tc>
        <w:tc>
          <w:tcPr>
            <w:tcW w:w="1871" w:type="dxa"/>
            <w:tcBorders>
              <w:top w:val="nil"/>
              <w:left w:val="nil"/>
              <w:bottom w:val="nil"/>
              <w:right w:val="nil"/>
            </w:tcBorders>
            <w:shd w:val="clear" w:color="000000" w:fill="F2F2F2"/>
            <w:vAlign w:val="center"/>
          </w:tcPr>
          <w:p w14:paraId="4E90FBF1"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-18,683,036.8</w:t>
            </w:r>
          </w:p>
        </w:tc>
        <w:tc>
          <w:tcPr>
            <w:tcW w:w="1531" w:type="dxa"/>
            <w:gridSpan w:val="2"/>
            <w:tcBorders>
              <w:top w:val="nil"/>
              <w:left w:val="nil"/>
              <w:bottom w:val="nil"/>
              <w:right w:val="nil"/>
            </w:tcBorders>
            <w:shd w:val="clear" w:color="000000" w:fill="F2F2F2"/>
            <w:vAlign w:val="center"/>
          </w:tcPr>
          <w:p w14:paraId="2B1E3561"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692,452.7 </w:t>
            </w:r>
          </w:p>
        </w:tc>
      </w:tr>
      <w:tr w:rsidR="006C6B52" w:rsidRPr="005946C5" w14:paraId="0B8153D9" w14:textId="77777777" w:rsidTr="00947EC7">
        <w:trPr>
          <w:trHeight w:val="227"/>
          <w:jc w:val="center"/>
        </w:trPr>
        <w:tc>
          <w:tcPr>
            <w:tcW w:w="1871" w:type="dxa"/>
            <w:tcBorders>
              <w:top w:val="nil"/>
              <w:left w:val="nil"/>
              <w:bottom w:val="single" w:sz="12" w:space="0" w:color="A6802D"/>
              <w:right w:val="nil"/>
            </w:tcBorders>
            <w:shd w:val="clear" w:color="000000" w:fill="F2F2F2"/>
            <w:vAlign w:val="center"/>
          </w:tcPr>
          <w:p w14:paraId="32773F86" w14:textId="77777777" w:rsidR="006C6B52" w:rsidRPr="006C6B52" w:rsidRDefault="006C6B52" w:rsidP="00001AF5">
            <w:pPr>
              <w:spacing w:after="0" w:line="240" w:lineRule="exact"/>
              <w:rPr>
                <w:rFonts w:ascii="Noto Sans" w:hAnsi="Noto Sans" w:cs="Noto Sans"/>
                <w:sz w:val="15"/>
                <w:szCs w:val="15"/>
              </w:rPr>
            </w:pPr>
            <w:r w:rsidRPr="006C6B52">
              <w:rPr>
                <w:rFonts w:ascii="Noto Sans" w:hAnsi="Noto Sans" w:cs="Noto Sans"/>
                <w:sz w:val="15"/>
                <w:szCs w:val="15"/>
              </w:rPr>
              <w:t>Clase II Serie A</w:t>
            </w:r>
          </w:p>
        </w:tc>
        <w:tc>
          <w:tcPr>
            <w:tcW w:w="1531" w:type="dxa"/>
            <w:tcBorders>
              <w:top w:val="nil"/>
              <w:left w:val="nil"/>
              <w:bottom w:val="single" w:sz="12" w:space="0" w:color="A6802D"/>
              <w:right w:val="nil"/>
            </w:tcBorders>
            <w:shd w:val="clear" w:color="000000" w:fill="F2F2F2"/>
            <w:vAlign w:val="center"/>
          </w:tcPr>
          <w:p w14:paraId="23CCC41C"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11,945,445 </w:t>
            </w:r>
          </w:p>
        </w:tc>
        <w:tc>
          <w:tcPr>
            <w:tcW w:w="1531" w:type="dxa"/>
            <w:tcBorders>
              <w:top w:val="nil"/>
              <w:left w:val="nil"/>
              <w:bottom w:val="single" w:sz="12" w:space="0" w:color="A6802D"/>
              <w:right w:val="nil"/>
            </w:tcBorders>
            <w:shd w:val="clear" w:color="000000" w:fill="F2F2F2"/>
            <w:vAlign w:val="center"/>
          </w:tcPr>
          <w:p w14:paraId="018C2424"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33,686,154.9</w:t>
            </w:r>
          </w:p>
        </w:tc>
        <w:tc>
          <w:tcPr>
            <w:tcW w:w="1871" w:type="dxa"/>
            <w:tcBorders>
              <w:top w:val="nil"/>
              <w:left w:val="nil"/>
              <w:bottom w:val="single" w:sz="12" w:space="0" w:color="A6802D"/>
              <w:right w:val="nil"/>
            </w:tcBorders>
            <w:shd w:val="clear" w:color="000000" w:fill="F2F2F2"/>
            <w:vAlign w:val="center"/>
          </w:tcPr>
          <w:p w14:paraId="785334DE"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-20,651,919.0</w:t>
            </w:r>
          </w:p>
        </w:tc>
        <w:tc>
          <w:tcPr>
            <w:tcW w:w="1531" w:type="dxa"/>
            <w:gridSpan w:val="2"/>
            <w:tcBorders>
              <w:top w:val="nil"/>
              <w:left w:val="nil"/>
              <w:bottom w:val="single" w:sz="12" w:space="0" w:color="A6802D"/>
              <w:right w:val="nil"/>
            </w:tcBorders>
            <w:shd w:val="clear" w:color="000000" w:fill="F2F2F2"/>
            <w:vAlign w:val="center"/>
          </w:tcPr>
          <w:p w14:paraId="2B2026E8" w14:textId="77777777" w:rsidR="006C6B52" w:rsidRPr="006C6B52" w:rsidRDefault="006C6B52" w:rsidP="00001AF5">
            <w:pPr>
              <w:spacing w:after="0" w:line="240" w:lineRule="exact"/>
              <w:jc w:val="right"/>
              <w:rPr>
                <w:rFonts w:ascii="Noto Sans" w:hAnsi="Noto Sans" w:cs="Noto Sans"/>
                <w:sz w:val="15"/>
                <w:szCs w:val="15"/>
              </w:rPr>
            </w:pPr>
            <w:r w:rsidRPr="006C6B52">
              <w:rPr>
                <w:rFonts w:ascii="Noto Sans" w:hAnsi="Noto Sans" w:cs="Noto Sans"/>
                <w:sz w:val="15"/>
                <w:szCs w:val="15"/>
              </w:rPr>
              <w:t xml:space="preserve">            13,034,235.9 </w:t>
            </w:r>
          </w:p>
        </w:tc>
      </w:tr>
      <w:tr w:rsidR="006C6B52" w:rsidRPr="00274555" w14:paraId="20484FA4" w14:textId="77777777" w:rsidTr="00001AF5">
        <w:trPr>
          <w:gridAfter w:val="1"/>
          <w:wAfter w:w="42" w:type="dxa"/>
          <w:trHeight w:val="226"/>
          <w:jc w:val="center"/>
        </w:trPr>
        <w:tc>
          <w:tcPr>
            <w:tcW w:w="8293" w:type="dxa"/>
            <w:gridSpan w:val="5"/>
            <w:tcBorders>
              <w:top w:val="single" w:sz="12" w:space="0" w:color="A6802D"/>
              <w:left w:val="nil"/>
              <w:right w:val="nil"/>
            </w:tcBorders>
            <w:vAlign w:val="center"/>
          </w:tcPr>
          <w:p w14:paraId="7B7A5CD5" w14:textId="77777777" w:rsidR="006C6B52" w:rsidRPr="00274555" w:rsidRDefault="006C6B52"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11240E96" w14:textId="77777777" w:rsidR="00001AF5" w:rsidRDefault="00001AF5" w:rsidP="00D91328">
      <w:pPr>
        <w:pStyle w:val="TEXTONORMAL"/>
        <w:tabs>
          <w:tab w:val="left" w:pos="284"/>
        </w:tabs>
        <w:rPr>
          <w:rFonts w:cs="Noto Sans"/>
          <w:szCs w:val="18"/>
        </w:rPr>
      </w:pPr>
    </w:p>
    <w:p w14:paraId="0DA4D62D" w14:textId="77777777" w:rsidR="00AF4E1A" w:rsidRDefault="00AF4E1A" w:rsidP="00D91328">
      <w:pPr>
        <w:pStyle w:val="TEXTONORMAL"/>
        <w:tabs>
          <w:tab w:val="left" w:pos="284"/>
        </w:tabs>
        <w:rPr>
          <w:rFonts w:cs="Noto Sans"/>
          <w:szCs w:val="18"/>
        </w:rPr>
      </w:pPr>
    </w:p>
    <w:p w14:paraId="37F745A6" w14:textId="77777777" w:rsidR="00394381" w:rsidRDefault="00394381" w:rsidP="00D91328">
      <w:pPr>
        <w:pStyle w:val="TEXTONORMAL"/>
        <w:tabs>
          <w:tab w:val="left" w:pos="284"/>
        </w:tabs>
        <w:rPr>
          <w:rFonts w:cs="Noto Sans"/>
          <w:szCs w:val="18"/>
        </w:rPr>
      </w:pPr>
    </w:p>
    <w:p w14:paraId="0C50B26B" w14:textId="77777777" w:rsidR="00394381" w:rsidRDefault="00394381" w:rsidP="00D91328">
      <w:pPr>
        <w:pStyle w:val="TEXTONORMAL"/>
        <w:tabs>
          <w:tab w:val="left" w:pos="284"/>
        </w:tabs>
        <w:rPr>
          <w:rFonts w:cs="Noto Sans"/>
          <w:szCs w:val="18"/>
        </w:rPr>
      </w:pPr>
    </w:p>
    <w:p w14:paraId="44D39A88" w14:textId="77777777" w:rsidR="00394381" w:rsidRDefault="00394381" w:rsidP="00D91328">
      <w:pPr>
        <w:pStyle w:val="TEXTONORMAL"/>
        <w:tabs>
          <w:tab w:val="left" w:pos="284"/>
        </w:tabs>
        <w:rPr>
          <w:rFonts w:cs="Noto Sans"/>
          <w:szCs w:val="18"/>
        </w:rPr>
      </w:pPr>
    </w:p>
    <w:p w14:paraId="0C4DCC3F" w14:textId="77777777" w:rsidR="00394381" w:rsidRDefault="00394381" w:rsidP="00D91328">
      <w:pPr>
        <w:pStyle w:val="TEXTONORMAL"/>
        <w:tabs>
          <w:tab w:val="left" w:pos="284"/>
        </w:tabs>
        <w:rPr>
          <w:rFonts w:cs="Noto Sans"/>
          <w:szCs w:val="18"/>
        </w:rPr>
      </w:pPr>
    </w:p>
    <w:p w14:paraId="074BEBAD" w14:textId="77777777" w:rsidR="00394381" w:rsidRDefault="00394381" w:rsidP="00D91328">
      <w:pPr>
        <w:pStyle w:val="TEXTONORMAL"/>
        <w:tabs>
          <w:tab w:val="left" w:pos="284"/>
        </w:tabs>
        <w:rPr>
          <w:rFonts w:cs="Noto Sans"/>
          <w:szCs w:val="18"/>
        </w:rPr>
      </w:pPr>
    </w:p>
    <w:p w14:paraId="448581DC" w14:textId="5FE3ABCD" w:rsidR="00001AF5" w:rsidRDefault="004C72F3" w:rsidP="00001AF5">
      <w:pPr>
        <w:pStyle w:val="TEXTONORMAL"/>
      </w:pPr>
      <w:r>
        <w:rPr>
          <w:rFonts w:cs="Noto Sans"/>
          <w:szCs w:val="18"/>
        </w:rPr>
        <w:lastRenderedPageBreak/>
        <w:t>A</w:t>
      </w:r>
      <w:r w:rsidRPr="000F4D76">
        <w:rPr>
          <w:rFonts w:cs="Noto Sans"/>
          <w:szCs w:val="18"/>
        </w:rPr>
        <w:t xml:space="preserve">l </w:t>
      </w:r>
      <w:r w:rsidR="00A30ED4" w:rsidRPr="002B3F78">
        <w:rPr>
          <w:rFonts w:cs="Noto Sans"/>
          <w:szCs w:val="18"/>
        </w:rPr>
        <w:t>3</w:t>
      </w:r>
      <w:r w:rsidR="00A30ED4">
        <w:rPr>
          <w:rFonts w:cs="Noto Sans"/>
          <w:szCs w:val="18"/>
        </w:rPr>
        <w:t>0</w:t>
      </w:r>
      <w:r w:rsidR="00A30ED4" w:rsidRPr="002B3F78">
        <w:rPr>
          <w:rFonts w:cs="Noto Sans"/>
          <w:szCs w:val="18"/>
        </w:rPr>
        <w:t xml:space="preserve"> de </w:t>
      </w:r>
      <w:r w:rsidR="00A30ED4">
        <w:rPr>
          <w:rFonts w:cs="Noto Sans"/>
          <w:szCs w:val="18"/>
        </w:rPr>
        <w:t>junio</w:t>
      </w:r>
      <w:r w:rsidR="00A30ED4" w:rsidRPr="002B3F78">
        <w:rPr>
          <w:rFonts w:cs="Noto Sans"/>
          <w:szCs w:val="18"/>
        </w:rPr>
        <w:t xml:space="preserve"> </w:t>
      </w:r>
      <w:r w:rsidRPr="000F4D76">
        <w:rPr>
          <w:rFonts w:cs="Noto Sans"/>
          <w:szCs w:val="18"/>
        </w:rPr>
        <w:t>de 2025 y 31 de diciembre de 2024</w:t>
      </w:r>
      <w:r w:rsidR="00001AF5" w:rsidRPr="00B06CFA">
        <w:t>, las reservas y el fondo laboral; así como,</w:t>
      </w:r>
      <w:r w:rsidR="00001AF5">
        <w:t xml:space="preserve"> los otros recursos financieros </w:t>
      </w:r>
      <w:r w:rsidR="00001AF5" w:rsidRPr="00B06CFA">
        <w:t>administrados por el Instituto tuvieron los siguientes movimientos:</w:t>
      </w:r>
    </w:p>
    <w:p w14:paraId="635DA350" w14:textId="77777777" w:rsidR="003019E2" w:rsidRDefault="003019E2" w:rsidP="00001AF5">
      <w:pPr>
        <w:pStyle w:val="TEXTONORMAL"/>
      </w:pPr>
    </w:p>
    <w:tbl>
      <w:tblPr>
        <w:tblW w:w="0" w:type="auto"/>
        <w:jc w:val="center"/>
        <w:tblCellMar>
          <w:left w:w="70" w:type="dxa"/>
          <w:right w:w="70" w:type="dxa"/>
        </w:tblCellMar>
        <w:tblLook w:val="0480" w:firstRow="0" w:lastRow="0" w:firstColumn="1" w:lastColumn="0" w:noHBand="0" w:noVBand="1"/>
      </w:tblPr>
      <w:tblGrid>
        <w:gridCol w:w="1321"/>
        <w:gridCol w:w="1513"/>
        <w:gridCol w:w="1427"/>
        <w:gridCol w:w="910"/>
        <w:gridCol w:w="1417"/>
        <w:gridCol w:w="1417"/>
        <w:gridCol w:w="1427"/>
        <w:gridCol w:w="1501"/>
        <w:gridCol w:w="12"/>
        <w:gridCol w:w="29"/>
      </w:tblGrid>
      <w:tr w:rsidR="003019E2" w:rsidRPr="005946C5" w14:paraId="00C8653F" w14:textId="77777777" w:rsidTr="00F760E9">
        <w:trPr>
          <w:gridAfter w:val="2"/>
          <w:wAfter w:w="41" w:type="dxa"/>
          <w:trHeight w:val="83"/>
          <w:jc w:val="center"/>
        </w:trPr>
        <w:tc>
          <w:tcPr>
            <w:tcW w:w="132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66E08806"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9612" w:type="dxa"/>
            <w:gridSpan w:val="7"/>
            <w:tcBorders>
              <w:top w:val="double" w:sz="12" w:space="0" w:color="A6802D"/>
              <w:left w:val="nil"/>
              <w:bottom w:val="single" w:sz="12" w:space="0" w:color="FFFFFF" w:themeColor="background1"/>
            </w:tcBorders>
            <w:shd w:val="clear" w:color="auto" w:fill="A6802D"/>
          </w:tcPr>
          <w:p w14:paraId="4ECF464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2025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3019E2" w:rsidRPr="005946C5" w14:paraId="4F38B665" w14:textId="77777777" w:rsidTr="00F760E9">
        <w:trPr>
          <w:gridAfter w:val="1"/>
          <w:wAfter w:w="29" w:type="dxa"/>
          <w:trHeight w:val="28"/>
          <w:jc w:val="center"/>
        </w:trPr>
        <w:tc>
          <w:tcPr>
            <w:tcW w:w="1321" w:type="dxa"/>
            <w:vMerge/>
            <w:tcBorders>
              <w:top w:val="single" w:sz="12" w:space="0" w:color="808080"/>
              <w:left w:val="nil"/>
              <w:bottom w:val="triple" w:sz="12" w:space="0" w:color="A6802D"/>
              <w:right w:val="single" w:sz="12" w:space="0" w:color="FFFFFF"/>
            </w:tcBorders>
            <w:shd w:val="clear" w:color="auto" w:fill="A6802D"/>
            <w:vAlign w:val="center"/>
            <w:hideMark/>
          </w:tcPr>
          <w:p w14:paraId="22E0C5A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13"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240A7D9E"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2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4181EA5B"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910"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0087FFC"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5122BD50"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Dividendos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3CC58CF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Plusvalía/ Minusvalía Validación a Mercado</w:t>
            </w:r>
          </w:p>
        </w:tc>
        <w:tc>
          <w:tcPr>
            <w:tcW w:w="142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01BCBC17"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Transferencias </w:t>
            </w:r>
          </w:p>
        </w:tc>
        <w:tc>
          <w:tcPr>
            <w:tcW w:w="1513" w:type="dxa"/>
            <w:gridSpan w:val="2"/>
            <w:tcBorders>
              <w:top w:val="single" w:sz="12" w:space="0" w:color="FFFFFF" w:themeColor="background1"/>
              <w:left w:val="nil"/>
              <w:bottom w:val="triple" w:sz="12" w:space="0" w:color="A6802D"/>
            </w:tcBorders>
            <w:shd w:val="clear" w:color="auto" w:fill="A6802D"/>
            <w:vAlign w:val="center"/>
          </w:tcPr>
          <w:p w14:paraId="40887D38"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44669E" w:rsidRPr="005946C5" w14:paraId="323568F3" w14:textId="77777777" w:rsidTr="00F760E9">
        <w:trPr>
          <w:gridAfter w:val="1"/>
          <w:wAfter w:w="29" w:type="dxa"/>
          <w:trHeight w:val="283"/>
          <w:jc w:val="center"/>
        </w:trPr>
        <w:tc>
          <w:tcPr>
            <w:tcW w:w="1321" w:type="dxa"/>
            <w:tcBorders>
              <w:top w:val="triple" w:sz="12" w:space="0" w:color="A6802D"/>
              <w:left w:val="nil"/>
              <w:bottom w:val="nil"/>
              <w:right w:val="nil"/>
            </w:tcBorders>
            <w:shd w:val="clear" w:color="000000" w:fill="F2F2F2"/>
            <w:vAlign w:val="center"/>
          </w:tcPr>
          <w:p w14:paraId="4DBA247F" w14:textId="0453BA32"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Reservas Operativas (RO)</w:t>
            </w:r>
          </w:p>
        </w:tc>
        <w:tc>
          <w:tcPr>
            <w:tcW w:w="1513" w:type="dxa"/>
            <w:tcBorders>
              <w:top w:val="triple" w:sz="12" w:space="0" w:color="A6802D"/>
              <w:left w:val="nil"/>
              <w:bottom w:val="nil"/>
              <w:right w:val="nil"/>
            </w:tcBorders>
            <w:shd w:val="clear" w:color="000000" w:fill="F2F2F2"/>
            <w:vAlign w:val="center"/>
          </w:tcPr>
          <w:p w14:paraId="7916F3E0" w14:textId="4CA3608A"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44,726,236,486.</w:t>
            </w:r>
            <w:r w:rsidR="0034017B">
              <w:rPr>
                <w:rFonts w:ascii="Noto Sans" w:hAnsi="Noto Sans" w:cs="Noto Sans"/>
                <w:color w:val="000000"/>
                <w:sz w:val="15"/>
                <w:szCs w:val="15"/>
              </w:rPr>
              <w:t>6</w:t>
            </w:r>
          </w:p>
        </w:tc>
        <w:tc>
          <w:tcPr>
            <w:tcW w:w="1427" w:type="dxa"/>
            <w:tcBorders>
              <w:top w:val="triple" w:sz="12" w:space="0" w:color="A6802D"/>
              <w:left w:val="nil"/>
              <w:bottom w:val="nil"/>
              <w:right w:val="nil"/>
            </w:tcBorders>
            <w:shd w:val="clear" w:color="000000" w:fill="F2F2F2"/>
            <w:vAlign w:val="center"/>
          </w:tcPr>
          <w:p w14:paraId="0096CD1E" w14:textId="004FF40D"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3,979,211,091.9</w:t>
            </w:r>
          </w:p>
        </w:tc>
        <w:tc>
          <w:tcPr>
            <w:tcW w:w="910" w:type="dxa"/>
            <w:tcBorders>
              <w:top w:val="triple" w:sz="12" w:space="0" w:color="A6802D"/>
              <w:left w:val="nil"/>
              <w:bottom w:val="nil"/>
              <w:right w:val="nil"/>
            </w:tcBorders>
            <w:shd w:val="clear" w:color="000000" w:fill="F2F2F2"/>
            <w:vAlign w:val="center"/>
          </w:tcPr>
          <w:p w14:paraId="3447AB60" w14:textId="304F04F2"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3C86538C" w14:textId="01F21CF8"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084006C1" w14:textId="0AE94DB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27" w:type="dxa"/>
            <w:tcBorders>
              <w:top w:val="triple" w:sz="12" w:space="0" w:color="A6802D"/>
              <w:left w:val="nil"/>
              <w:bottom w:val="nil"/>
              <w:right w:val="nil"/>
            </w:tcBorders>
            <w:shd w:val="clear" w:color="000000" w:fill="F2F2F2"/>
            <w:vAlign w:val="center"/>
          </w:tcPr>
          <w:p w14:paraId="1B4FD0AA" w14:textId="1D48B148"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52,119,903,954.2</w:t>
            </w:r>
          </w:p>
        </w:tc>
        <w:tc>
          <w:tcPr>
            <w:tcW w:w="1513" w:type="dxa"/>
            <w:gridSpan w:val="2"/>
            <w:tcBorders>
              <w:top w:val="triple" w:sz="12" w:space="0" w:color="A6802D"/>
              <w:left w:val="nil"/>
              <w:bottom w:val="nil"/>
              <w:right w:val="nil"/>
            </w:tcBorders>
            <w:shd w:val="clear" w:color="000000" w:fill="F2F2F2"/>
            <w:vAlign w:val="center"/>
          </w:tcPr>
          <w:p w14:paraId="6004C639" w14:textId="2879C953"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100,825,351,532.7</w:t>
            </w:r>
          </w:p>
        </w:tc>
      </w:tr>
      <w:tr w:rsidR="0044669E" w:rsidRPr="00FC0913" w14:paraId="6B2843EB"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46080FDD" w14:textId="6B288FA5"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Reserva para Contingencia y Financiamiento (ROCF)</w:t>
            </w:r>
          </w:p>
        </w:tc>
        <w:tc>
          <w:tcPr>
            <w:tcW w:w="1513" w:type="dxa"/>
            <w:tcBorders>
              <w:top w:val="nil"/>
              <w:left w:val="nil"/>
              <w:bottom w:val="nil"/>
              <w:right w:val="nil"/>
            </w:tcBorders>
            <w:shd w:val="clear" w:color="000000" w:fill="F2F2F2"/>
            <w:vAlign w:val="center"/>
          </w:tcPr>
          <w:p w14:paraId="3E55661B" w14:textId="25877C63"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115,483,596,125.0</w:t>
            </w:r>
          </w:p>
        </w:tc>
        <w:tc>
          <w:tcPr>
            <w:tcW w:w="1427" w:type="dxa"/>
            <w:tcBorders>
              <w:top w:val="nil"/>
              <w:left w:val="nil"/>
              <w:bottom w:val="nil"/>
              <w:right w:val="nil"/>
            </w:tcBorders>
            <w:shd w:val="clear" w:color="000000" w:fill="F2F2F2"/>
            <w:vAlign w:val="center"/>
          </w:tcPr>
          <w:p w14:paraId="6D3AE4F6" w14:textId="701A5F7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5,969,340,582.2</w:t>
            </w:r>
          </w:p>
        </w:tc>
        <w:tc>
          <w:tcPr>
            <w:tcW w:w="910" w:type="dxa"/>
            <w:tcBorders>
              <w:top w:val="nil"/>
              <w:left w:val="nil"/>
              <w:bottom w:val="nil"/>
              <w:right w:val="nil"/>
            </w:tcBorders>
            <w:shd w:val="clear" w:color="000000" w:fill="F2F2F2"/>
            <w:vAlign w:val="center"/>
          </w:tcPr>
          <w:p w14:paraId="076E9254" w14:textId="5DD6A177"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7F055CA" w14:textId="48A9B102"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A1805D8" w14:textId="453181F6"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27" w:type="dxa"/>
            <w:tcBorders>
              <w:top w:val="nil"/>
              <w:left w:val="nil"/>
              <w:bottom w:val="nil"/>
              <w:right w:val="nil"/>
            </w:tcBorders>
            <w:shd w:val="clear" w:color="000000" w:fill="F2F2F2"/>
            <w:vAlign w:val="center"/>
          </w:tcPr>
          <w:p w14:paraId="26A4F2AE" w14:textId="7D245E8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8,120,439,262.5</w:t>
            </w:r>
          </w:p>
        </w:tc>
        <w:tc>
          <w:tcPr>
            <w:tcW w:w="1513" w:type="dxa"/>
            <w:gridSpan w:val="2"/>
            <w:tcBorders>
              <w:top w:val="nil"/>
              <w:left w:val="nil"/>
              <w:bottom w:val="nil"/>
              <w:right w:val="nil"/>
            </w:tcBorders>
            <w:shd w:val="clear" w:color="000000" w:fill="F2F2F2"/>
            <w:vAlign w:val="center"/>
          </w:tcPr>
          <w:p w14:paraId="20FED46E" w14:textId="10A7E5F8"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129,573,375,969.7</w:t>
            </w:r>
          </w:p>
        </w:tc>
      </w:tr>
      <w:tr w:rsidR="0044669E" w:rsidRPr="00FC0913" w14:paraId="1B2583FC"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02C284E9" w14:textId="314A900C"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Reserva General Financiera y Actuarial (RGFA)</w:t>
            </w:r>
          </w:p>
        </w:tc>
        <w:tc>
          <w:tcPr>
            <w:tcW w:w="1513" w:type="dxa"/>
            <w:tcBorders>
              <w:top w:val="nil"/>
              <w:left w:val="nil"/>
              <w:bottom w:val="nil"/>
              <w:right w:val="nil"/>
            </w:tcBorders>
            <w:shd w:val="clear" w:color="000000" w:fill="F2F2F2"/>
            <w:vAlign w:val="center"/>
          </w:tcPr>
          <w:p w14:paraId="7B719FE7" w14:textId="11A2253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15,560,736,696.0</w:t>
            </w:r>
          </w:p>
        </w:tc>
        <w:tc>
          <w:tcPr>
            <w:tcW w:w="1427" w:type="dxa"/>
            <w:tcBorders>
              <w:top w:val="nil"/>
              <w:left w:val="nil"/>
              <w:bottom w:val="nil"/>
              <w:right w:val="nil"/>
            </w:tcBorders>
            <w:shd w:val="clear" w:color="000000" w:fill="F2F2F2"/>
            <w:vAlign w:val="center"/>
          </w:tcPr>
          <w:p w14:paraId="51106924" w14:textId="13E08CA0"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827,308,559.1</w:t>
            </w:r>
          </w:p>
        </w:tc>
        <w:tc>
          <w:tcPr>
            <w:tcW w:w="910" w:type="dxa"/>
            <w:tcBorders>
              <w:top w:val="nil"/>
              <w:left w:val="nil"/>
              <w:bottom w:val="nil"/>
              <w:right w:val="nil"/>
            </w:tcBorders>
            <w:shd w:val="clear" w:color="000000" w:fill="F2F2F2"/>
            <w:vAlign w:val="center"/>
          </w:tcPr>
          <w:p w14:paraId="7D9E5D2C" w14:textId="5E52D8AC"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F694BAF" w14:textId="14313C28"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589453A" w14:textId="2EC4E993"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27" w:type="dxa"/>
            <w:tcBorders>
              <w:top w:val="nil"/>
              <w:left w:val="nil"/>
              <w:bottom w:val="nil"/>
              <w:right w:val="nil"/>
            </w:tcBorders>
            <w:shd w:val="clear" w:color="000000" w:fill="F2F2F2"/>
            <w:vAlign w:val="center"/>
          </w:tcPr>
          <w:p w14:paraId="3E3194F1" w14:textId="448D9C41"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3,524,310,029.</w:t>
            </w:r>
            <w:r w:rsidR="00311B76">
              <w:rPr>
                <w:rFonts w:ascii="Noto Sans" w:hAnsi="Noto Sans" w:cs="Noto Sans"/>
                <w:color w:val="000000"/>
                <w:sz w:val="15"/>
                <w:szCs w:val="15"/>
              </w:rPr>
              <w:t>5</w:t>
            </w:r>
          </w:p>
        </w:tc>
        <w:tc>
          <w:tcPr>
            <w:tcW w:w="1513" w:type="dxa"/>
            <w:gridSpan w:val="2"/>
            <w:tcBorders>
              <w:top w:val="nil"/>
              <w:left w:val="nil"/>
              <w:bottom w:val="nil"/>
              <w:right w:val="nil"/>
            </w:tcBorders>
            <w:shd w:val="clear" w:color="000000" w:fill="F2F2F2"/>
            <w:vAlign w:val="center"/>
          </w:tcPr>
          <w:p w14:paraId="0F2BB759" w14:textId="128D64AD"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19,912,355,284.</w:t>
            </w:r>
            <w:r w:rsidR="00311B76">
              <w:rPr>
                <w:rFonts w:ascii="Noto Sans" w:hAnsi="Noto Sans" w:cs="Noto Sans"/>
                <w:color w:val="000000"/>
                <w:sz w:val="15"/>
                <w:szCs w:val="15"/>
              </w:rPr>
              <w:t>6</w:t>
            </w:r>
          </w:p>
        </w:tc>
      </w:tr>
      <w:tr w:rsidR="0044669E" w:rsidRPr="00FC0913" w14:paraId="516F4907"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09452C4C" w14:textId="56077C2F"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 xml:space="preserve">RFA Gastos Médicos de Pensionados </w:t>
            </w:r>
          </w:p>
        </w:tc>
        <w:tc>
          <w:tcPr>
            <w:tcW w:w="1513" w:type="dxa"/>
            <w:tcBorders>
              <w:top w:val="nil"/>
              <w:left w:val="nil"/>
              <w:bottom w:val="nil"/>
              <w:right w:val="nil"/>
            </w:tcBorders>
            <w:shd w:val="clear" w:color="000000" w:fill="F2F2F2"/>
            <w:vAlign w:val="center"/>
          </w:tcPr>
          <w:p w14:paraId="3DC1199B" w14:textId="233D0DB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45,606,691,746.8</w:t>
            </w:r>
          </w:p>
        </w:tc>
        <w:tc>
          <w:tcPr>
            <w:tcW w:w="1427" w:type="dxa"/>
            <w:tcBorders>
              <w:top w:val="nil"/>
              <w:left w:val="nil"/>
              <w:bottom w:val="nil"/>
              <w:right w:val="nil"/>
            </w:tcBorders>
            <w:shd w:val="clear" w:color="000000" w:fill="F2F2F2"/>
            <w:vAlign w:val="center"/>
          </w:tcPr>
          <w:p w14:paraId="3400196A" w14:textId="3E3F1C98"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1,300,683,200.9</w:t>
            </w:r>
          </w:p>
        </w:tc>
        <w:tc>
          <w:tcPr>
            <w:tcW w:w="910" w:type="dxa"/>
            <w:tcBorders>
              <w:top w:val="nil"/>
              <w:left w:val="nil"/>
              <w:bottom w:val="nil"/>
              <w:right w:val="nil"/>
            </w:tcBorders>
            <w:shd w:val="clear" w:color="000000" w:fill="F2F2F2"/>
            <w:vAlign w:val="center"/>
          </w:tcPr>
          <w:p w14:paraId="02DBC3A4" w14:textId="405E3251"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3ED0CAC" w14:textId="0DF3D238"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80BEEC3" w14:textId="3A31EA83"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-56,472,816.0</w:t>
            </w:r>
          </w:p>
        </w:tc>
        <w:tc>
          <w:tcPr>
            <w:tcW w:w="1427" w:type="dxa"/>
            <w:tcBorders>
              <w:top w:val="nil"/>
              <w:left w:val="nil"/>
              <w:bottom w:val="nil"/>
              <w:right w:val="nil"/>
            </w:tcBorders>
            <w:shd w:val="clear" w:color="000000" w:fill="F2F2F2"/>
            <w:vAlign w:val="center"/>
          </w:tcPr>
          <w:p w14:paraId="7CD39C3B" w14:textId="656A214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759.1</w:t>
            </w:r>
          </w:p>
        </w:tc>
        <w:tc>
          <w:tcPr>
            <w:tcW w:w="1513" w:type="dxa"/>
            <w:gridSpan w:val="2"/>
            <w:tcBorders>
              <w:top w:val="nil"/>
              <w:left w:val="nil"/>
              <w:bottom w:val="nil"/>
              <w:right w:val="nil"/>
            </w:tcBorders>
            <w:shd w:val="clear" w:color="000000" w:fill="F2F2F2"/>
            <w:vAlign w:val="center"/>
          </w:tcPr>
          <w:p w14:paraId="5D1D8B21" w14:textId="31F4CB59"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46,850,902,890.</w:t>
            </w:r>
            <w:r w:rsidR="00311B76">
              <w:rPr>
                <w:rFonts w:ascii="Noto Sans" w:hAnsi="Noto Sans" w:cs="Noto Sans"/>
                <w:color w:val="000000"/>
                <w:sz w:val="15"/>
                <w:szCs w:val="15"/>
              </w:rPr>
              <w:t>8</w:t>
            </w:r>
          </w:p>
        </w:tc>
      </w:tr>
      <w:tr w:rsidR="0044669E" w:rsidRPr="00FC0913" w14:paraId="336492C8"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35517BCB" w14:textId="37CED2C8"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 xml:space="preserve">RFA Seguro de Enfermedad y Maternidad </w:t>
            </w:r>
          </w:p>
        </w:tc>
        <w:tc>
          <w:tcPr>
            <w:tcW w:w="1513" w:type="dxa"/>
            <w:tcBorders>
              <w:top w:val="nil"/>
              <w:left w:val="nil"/>
              <w:bottom w:val="nil"/>
              <w:right w:val="nil"/>
            </w:tcBorders>
            <w:shd w:val="clear" w:color="000000" w:fill="F2F2F2"/>
            <w:vAlign w:val="center"/>
          </w:tcPr>
          <w:p w14:paraId="1206E3F4" w14:textId="50849AD5"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75,305,054,879.9</w:t>
            </w:r>
          </w:p>
        </w:tc>
        <w:tc>
          <w:tcPr>
            <w:tcW w:w="1427" w:type="dxa"/>
            <w:tcBorders>
              <w:top w:val="nil"/>
              <w:left w:val="nil"/>
              <w:bottom w:val="nil"/>
              <w:right w:val="nil"/>
            </w:tcBorders>
            <w:shd w:val="clear" w:color="000000" w:fill="F2F2F2"/>
            <w:vAlign w:val="center"/>
          </w:tcPr>
          <w:p w14:paraId="2D63CCE0" w14:textId="1BA9AF6D"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2,387,807,774.7</w:t>
            </w:r>
          </w:p>
        </w:tc>
        <w:tc>
          <w:tcPr>
            <w:tcW w:w="910" w:type="dxa"/>
            <w:tcBorders>
              <w:top w:val="nil"/>
              <w:left w:val="nil"/>
              <w:bottom w:val="nil"/>
              <w:right w:val="nil"/>
            </w:tcBorders>
            <w:shd w:val="clear" w:color="000000" w:fill="F2F2F2"/>
            <w:vAlign w:val="center"/>
          </w:tcPr>
          <w:p w14:paraId="68B780EB" w14:textId="0ABF6582"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2D9A584" w14:textId="560AE7FC"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2AF933E" w14:textId="7390D383"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3,043,006,432.4</w:t>
            </w:r>
          </w:p>
        </w:tc>
        <w:tc>
          <w:tcPr>
            <w:tcW w:w="1427" w:type="dxa"/>
            <w:tcBorders>
              <w:top w:val="nil"/>
              <w:left w:val="nil"/>
              <w:bottom w:val="nil"/>
              <w:right w:val="nil"/>
            </w:tcBorders>
            <w:shd w:val="clear" w:color="000000" w:fill="F2F2F2"/>
            <w:vAlign w:val="center"/>
          </w:tcPr>
          <w:p w14:paraId="34B086A5" w14:textId="649ED786"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8,073.7</w:t>
            </w:r>
          </w:p>
        </w:tc>
        <w:tc>
          <w:tcPr>
            <w:tcW w:w="1513" w:type="dxa"/>
            <w:gridSpan w:val="2"/>
            <w:tcBorders>
              <w:top w:val="nil"/>
              <w:left w:val="nil"/>
              <w:bottom w:val="nil"/>
              <w:right w:val="nil"/>
            </w:tcBorders>
            <w:shd w:val="clear" w:color="000000" w:fill="F2F2F2"/>
            <w:vAlign w:val="center"/>
          </w:tcPr>
          <w:p w14:paraId="732A289A" w14:textId="3BBB5FD5"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80,735,877,160.</w:t>
            </w:r>
            <w:r w:rsidR="00311B76">
              <w:rPr>
                <w:rFonts w:ascii="Noto Sans" w:hAnsi="Noto Sans" w:cs="Noto Sans"/>
                <w:color w:val="000000"/>
                <w:sz w:val="15"/>
                <w:szCs w:val="15"/>
              </w:rPr>
              <w:t>7</w:t>
            </w:r>
          </w:p>
        </w:tc>
      </w:tr>
      <w:tr w:rsidR="0044669E" w:rsidRPr="00FC0913" w14:paraId="37EF13D6"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345FDFCB" w14:textId="6B3314D9"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RFA Guarderías y Prestaciones Sociales</w:t>
            </w:r>
          </w:p>
        </w:tc>
        <w:tc>
          <w:tcPr>
            <w:tcW w:w="1513" w:type="dxa"/>
            <w:tcBorders>
              <w:top w:val="nil"/>
              <w:left w:val="nil"/>
              <w:bottom w:val="nil"/>
              <w:right w:val="nil"/>
            </w:tcBorders>
            <w:shd w:val="clear" w:color="000000" w:fill="F2F2F2"/>
            <w:vAlign w:val="center"/>
          </w:tcPr>
          <w:p w14:paraId="5D19401E" w14:textId="239F2E6E"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1,483,429,706.5</w:t>
            </w:r>
          </w:p>
        </w:tc>
        <w:tc>
          <w:tcPr>
            <w:tcW w:w="1427" w:type="dxa"/>
            <w:tcBorders>
              <w:top w:val="nil"/>
              <w:left w:val="nil"/>
              <w:bottom w:val="nil"/>
              <w:right w:val="nil"/>
            </w:tcBorders>
            <w:shd w:val="clear" w:color="000000" w:fill="F2F2F2"/>
            <w:vAlign w:val="center"/>
          </w:tcPr>
          <w:p w14:paraId="2CBDA2C8" w14:textId="55A11C9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70,705,750.1</w:t>
            </w:r>
          </w:p>
        </w:tc>
        <w:tc>
          <w:tcPr>
            <w:tcW w:w="910" w:type="dxa"/>
            <w:tcBorders>
              <w:top w:val="nil"/>
              <w:left w:val="nil"/>
              <w:bottom w:val="nil"/>
              <w:right w:val="nil"/>
            </w:tcBorders>
            <w:shd w:val="clear" w:color="000000" w:fill="F2F2F2"/>
            <w:vAlign w:val="center"/>
          </w:tcPr>
          <w:p w14:paraId="021A8B02" w14:textId="2BDD90F1"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F536F9E" w14:textId="315D60F6"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EEDDA77" w14:textId="308CD1C5"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6,530,781.8</w:t>
            </w:r>
          </w:p>
        </w:tc>
        <w:tc>
          <w:tcPr>
            <w:tcW w:w="1427" w:type="dxa"/>
            <w:tcBorders>
              <w:top w:val="nil"/>
              <w:left w:val="nil"/>
              <w:bottom w:val="nil"/>
              <w:right w:val="nil"/>
            </w:tcBorders>
            <w:shd w:val="clear" w:color="000000" w:fill="F2F2F2"/>
            <w:vAlign w:val="center"/>
          </w:tcPr>
          <w:p w14:paraId="15E2DE73" w14:textId="46D70AB2"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1,085,827,208.1</w:t>
            </w:r>
          </w:p>
        </w:tc>
        <w:tc>
          <w:tcPr>
            <w:tcW w:w="1513" w:type="dxa"/>
            <w:gridSpan w:val="2"/>
            <w:tcBorders>
              <w:top w:val="nil"/>
              <w:left w:val="nil"/>
              <w:bottom w:val="nil"/>
              <w:right w:val="nil"/>
            </w:tcBorders>
            <w:shd w:val="clear" w:color="000000" w:fill="F2F2F2"/>
            <w:vAlign w:val="center"/>
          </w:tcPr>
          <w:p w14:paraId="3B7CA5BD" w14:textId="2D9E6E47"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2,646,493,446.5</w:t>
            </w:r>
          </w:p>
        </w:tc>
      </w:tr>
      <w:tr w:rsidR="0044669E" w:rsidRPr="00FC0913" w14:paraId="4A21B2D9"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69D8B9DA" w14:textId="02DF88D0"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RFA Invalidez y Vida</w:t>
            </w:r>
          </w:p>
        </w:tc>
        <w:tc>
          <w:tcPr>
            <w:tcW w:w="1513" w:type="dxa"/>
            <w:tcBorders>
              <w:top w:val="nil"/>
              <w:left w:val="nil"/>
              <w:bottom w:val="nil"/>
              <w:right w:val="nil"/>
            </w:tcBorders>
            <w:shd w:val="clear" w:color="000000" w:fill="F2F2F2"/>
            <w:vAlign w:val="center"/>
          </w:tcPr>
          <w:p w14:paraId="3A5EDA7B" w14:textId="1D76D3C0"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24,969,527,394.1</w:t>
            </w:r>
          </w:p>
        </w:tc>
        <w:tc>
          <w:tcPr>
            <w:tcW w:w="1427" w:type="dxa"/>
            <w:tcBorders>
              <w:top w:val="nil"/>
              <w:left w:val="nil"/>
              <w:bottom w:val="nil"/>
              <w:right w:val="nil"/>
            </w:tcBorders>
            <w:shd w:val="clear" w:color="000000" w:fill="F2F2F2"/>
            <w:vAlign w:val="center"/>
          </w:tcPr>
          <w:p w14:paraId="63F064F1" w14:textId="3D5A18BA"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608,229,434.4</w:t>
            </w:r>
          </w:p>
        </w:tc>
        <w:tc>
          <w:tcPr>
            <w:tcW w:w="910" w:type="dxa"/>
            <w:tcBorders>
              <w:top w:val="nil"/>
              <w:left w:val="nil"/>
              <w:bottom w:val="nil"/>
              <w:right w:val="nil"/>
            </w:tcBorders>
            <w:shd w:val="clear" w:color="000000" w:fill="F2F2F2"/>
            <w:vAlign w:val="center"/>
          </w:tcPr>
          <w:p w14:paraId="185D5D9A" w14:textId="3DFCA8D6"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0DC8D93" w14:textId="2DFB4C9E"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701,975,959.4</w:t>
            </w:r>
          </w:p>
        </w:tc>
        <w:tc>
          <w:tcPr>
            <w:tcW w:w="1417" w:type="dxa"/>
            <w:tcBorders>
              <w:top w:val="nil"/>
              <w:left w:val="nil"/>
              <w:bottom w:val="nil"/>
              <w:right w:val="nil"/>
            </w:tcBorders>
            <w:shd w:val="clear" w:color="000000" w:fill="F2F2F2"/>
            <w:vAlign w:val="center"/>
          </w:tcPr>
          <w:p w14:paraId="383015D2" w14:textId="357153A1"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-13,563,889.7</w:t>
            </w:r>
          </w:p>
        </w:tc>
        <w:tc>
          <w:tcPr>
            <w:tcW w:w="1427" w:type="dxa"/>
            <w:tcBorders>
              <w:top w:val="nil"/>
              <w:left w:val="nil"/>
              <w:bottom w:val="nil"/>
              <w:right w:val="nil"/>
            </w:tcBorders>
            <w:shd w:val="clear" w:color="000000" w:fill="F2F2F2"/>
            <w:vAlign w:val="center"/>
          </w:tcPr>
          <w:p w14:paraId="27C1F5D4" w14:textId="032196F7"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-911.0</w:t>
            </w:r>
          </w:p>
        </w:tc>
        <w:tc>
          <w:tcPr>
            <w:tcW w:w="1513" w:type="dxa"/>
            <w:gridSpan w:val="2"/>
            <w:tcBorders>
              <w:top w:val="nil"/>
              <w:left w:val="nil"/>
              <w:bottom w:val="nil"/>
              <w:right w:val="nil"/>
            </w:tcBorders>
            <w:shd w:val="clear" w:color="000000" w:fill="F2F2F2"/>
            <w:vAlign w:val="center"/>
          </w:tcPr>
          <w:p w14:paraId="57008601" w14:textId="3D08104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26,266,167,987.</w:t>
            </w:r>
            <w:r w:rsidR="00311B76">
              <w:rPr>
                <w:rFonts w:ascii="Noto Sans" w:hAnsi="Noto Sans" w:cs="Noto Sans"/>
                <w:color w:val="000000"/>
                <w:sz w:val="15"/>
                <w:szCs w:val="15"/>
              </w:rPr>
              <w:t>2</w:t>
            </w:r>
          </w:p>
        </w:tc>
      </w:tr>
      <w:tr w:rsidR="0044669E" w:rsidRPr="00FC0913" w14:paraId="4676C99E"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09D70A8C" w14:textId="640BB758"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RFA Riesgo de Trabajo</w:t>
            </w:r>
          </w:p>
        </w:tc>
        <w:tc>
          <w:tcPr>
            <w:tcW w:w="1513" w:type="dxa"/>
            <w:tcBorders>
              <w:top w:val="nil"/>
              <w:left w:val="nil"/>
              <w:bottom w:val="nil"/>
              <w:right w:val="nil"/>
            </w:tcBorders>
            <w:shd w:val="clear" w:color="000000" w:fill="F2F2F2"/>
            <w:vAlign w:val="center"/>
          </w:tcPr>
          <w:p w14:paraId="19BC5CED" w14:textId="6EC3EDFA"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19,022,416,900.7</w:t>
            </w:r>
          </w:p>
        </w:tc>
        <w:tc>
          <w:tcPr>
            <w:tcW w:w="1427" w:type="dxa"/>
            <w:tcBorders>
              <w:top w:val="nil"/>
              <w:left w:val="nil"/>
              <w:bottom w:val="nil"/>
              <w:right w:val="nil"/>
            </w:tcBorders>
            <w:shd w:val="clear" w:color="000000" w:fill="F2F2F2"/>
            <w:vAlign w:val="center"/>
          </w:tcPr>
          <w:p w14:paraId="6A45AF2F" w14:textId="1CDDEECB"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462,741,107.5</w:t>
            </w:r>
          </w:p>
        </w:tc>
        <w:tc>
          <w:tcPr>
            <w:tcW w:w="910" w:type="dxa"/>
            <w:tcBorders>
              <w:top w:val="nil"/>
              <w:left w:val="nil"/>
              <w:bottom w:val="nil"/>
              <w:right w:val="nil"/>
            </w:tcBorders>
            <w:shd w:val="clear" w:color="000000" w:fill="F2F2F2"/>
            <w:vAlign w:val="center"/>
          </w:tcPr>
          <w:p w14:paraId="0E5E9C08" w14:textId="1C0EE378"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E949F58" w14:textId="681CB3B0"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558,382,568.7</w:t>
            </w:r>
          </w:p>
        </w:tc>
        <w:tc>
          <w:tcPr>
            <w:tcW w:w="1417" w:type="dxa"/>
            <w:tcBorders>
              <w:top w:val="nil"/>
              <w:left w:val="nil"/>
              <w:bottom w:val="nil"/>
              <w:right w:val="nil"/>
            </w:tcBorders>
            <w:shd w:val="clear" w:color="000000" w:fill="F2F2F2"/>
            <w:vAlign w:val="center"/>
          </w:tcPr>
          <w:p w14:paraId="06B1D4E7" w14:textId="4A3910C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-11,252,821.1</w:t>
            </w:r>
          </w:p>
        </w:tc>
        <w:tc>
          <w:tcPr>
            <w:tcW w:w="1427" w:type="dxa"/>
            <w:tcBorders>
              <w:top w:val="nil"/>
              <w:left w:val="nil"/>
              <w:bottom w:val="nil"/>
              <w:right w:val="nil"/>
            </w:tcBorders>
            <w:shd w:val="clear" w:color="000000" w:fill="F2F2F2"/>
            <w:vAlign w:val="center"/>
          </w:tcPr>
          <w:p w14:paraId="6F4164E7" w14:textId="532C1605"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-2,241.9</w:t>
            </w:r>
          </w:p>
        </w:tc>
        <w:tc>
          <w:tcPr>
            <w:tcW w:w="1513" w:type="dxa"/>
            <w:gridSpan w:val="2"/>
            <w:tcBorders>
              <w:top w:val="nil"/>
              <w:left w:val="nil"/>
              <w:bottom w:val="nil"/>
              <w:right w:val="nil"/>
            </w:tcBorders>
            <w:shd w:val="clear" w:color="000000" w:fill="F2F2F2"/>
            <w:vAlign w:val="center"/>
          </w:tcPr>
          <w:p w14:paraId="3AC8DA98" w14:textId="3BB58B0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20,032,285,513.9</w:t>
            </w:r>
          </w:p>
        </w:tc>
      </w:tr>
      <w:tr w:rsidR="0044669E" w:rsidRPr="00FC0913" w14:paraId="1F7110FE"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5621886A" w14:textId="62431B06"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Subcuenta 1 (RJPS1)</w:t>
            </w:r>
          </w:p>
        </w:tc>
        <w:tc>
          <w:tcPr>
            <w:tcW w:w="1513" w:type="dxa"/>
            <w:tcBorders>
              <w:top w:val="nil"/>
              <w:left w:val="nil"/>
              <w:bottom w:val="nil"/>
              <w:right w:val="nil"/>
            </w:tcBorders>
            <w:shd w:val="clear" w:color="000000" w:fill="F2F2F2"/>
            <w:vAlign w:val="center"/>
          </w:tcPr>
          <w:p w14:paraId="5F7B386D" w14:textId="660CBF47"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11,021,177,838.6</w:t>
            </w:r>
          </w:p>
        </w:tc>
        <w:tc>
          <w:tcPr>
            <w:tcW w:w="1427" w:type="dxa"/>
            <w:tcBorders>
              <w:top w:val="nil"/>
              <w:left w:val="nil"/>
              <w:bottom w:val="nil"/>
              <w:right w:val="nil"/>
            </w:tcBorders>
            <w:shd w:val="clear" w:color="000000" w:fill="F2F2F2"/>
            <w:vAlign w:val="center"/>
          </w:tcPr>
          <w:p w14:paraId="15309959" w14:textId="754C9D81"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583,744,924.6</w:t>
            </w:r>
          </w:p>
        </w:tc>
        <w:tc>
          <w:tcPr>
            <w:tcW w:w="910" w:type="dxa"/>
            <w:tcBorders>
              <w:top w:val="nil"/>
              <w:left w:val="nil"/>
              <w:bottom w:val="nil"/>
              <w:right w:val="nil"/>
            </w:tcBorders>
            <w:shd w:val="clear" w:color="000000" w:fill="F2F2F2"/>
            <w:vAlign w:val="center"/>
          </w:tcPr>
          <w:p w14:paraId="0477A674" w14:textId="00DD4F95"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D396FAD" w14:textId="2AAD4D1D"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F7E4140" w14:textId="63DC1D1D"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486,986,785.4</w:t>
            </w:r>
          </w:p>
        </w:tc>
        <w:tc>
          <w:tcPr>
            <w:tcW w:w="1427" w:type="dxa"/>
            <w:tcBorders>
              <w:top w:val="nil"/>
              <w:left w:val="nil"/>
              <w:bottom w:val="nil"/>
              <w:right w:val="nil"/>
            </w:tcBorders>
            <w:shd w:val="clear" w:color="000000" w:fill="F2F2F2"/>
            <w:vAlign w:val="center"/>
          </w:tcPr>
          <w:p w14:paraId="499A0266" w14:textId="0F65E579"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593,643,537.4</w:t>
            </w:r>
          </w:p>
        </w:tc>
        <w:tc>
          <w:tcPr>
            <w:tcW w:w="1513" w:type="dxa"/>
            <w:gridSpan w:val="2"/>
            <w:tcBorders>
              <w:top w:val="nil"/>
              <w:left w:val="nil"/>
              <w:bottom w:val="nil"/>
              <w:right w:val="nil"/>
            </w:tcBorders>
            <w:shd w:val="clear" w:color="000000" w:fill="F2F2F2"/>
            <w:vAlign w:val="center"/>
          </w:tcPr>
          <w:p w14:paraId="345AEE34" w14:textId="6A139A2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12,685,553,086.</w:t>
            </w:r>
            <w:r w:rsidR="00311B76">
              <w:rPr>
                <w:rFonts w:ascii="Noto Sans" w:hAnsi="Noto Sans" w:cs="Noto Sans"/>
                <w:color w:val="000000"/>
                <w:sz w:val="15"/>
                <w:szCs w:val="15"/>
              </w:rPr>
              <w:t>0</w:t>
            </w:r>
          </w:p>
        </w:tc>
      </w:tr>
      <w:tr w:rsidR="0044669E" w:rsidRPr="00FC0913" w14:paraId="56836BB3" w14:textId="77777777" w:rsidTr="00F760E9">
        <w:trPr>
          <w:gridAfter w:val="1"/>
          <w:wAfter w:w="29" w:type="dxa"/>
          <w:trHeight w:val="283"/>
          <w:jc w:val="center"/>
        </w:trPr>
        <w:tc>
          <w:tcPr>
            <w:tcW w:w="1321" w:type="dxa"/>
            <w:tcBorders>
              <w:top w:val="nil"/>
              <w:left w:val="nil"/>
              <w:bottom w:val="nil"/>
              <w:right w:val="nil"/>
            </w:tcBorders>
            <w:shd w:val="clear" w:color="000000" w:fill="F2F2F2"/>
            <w:vAlign w:val="center"/>
          </w:tcPr>
          <w:p w14:paraId="4FA59A6B" w14:textId="03AD0D7A" w:rsidR="0044669E" w:rsidRPr="00662C8C" w:rsidRDefault="0044669E" w:rsidP="0044669E">
            <w:pPr>
              <w:spacing w:after="0" w:line="240" w:lineRule="auto"/>
              <w:rPr>
                <w:rFonts w:ascii="Noto Sans" w:eastAsia="Times New Roman" w:hAnsi="Noto Sans" w:cs="Noto Sans"/>
                <w:color w:val="000000"/>
                <w:sz w:val="15"/>
                <w:szCs w:val="15"/>
                <w:highlight w:val="cyan"/>
                <w:lang w:eastAsia="es-MX"/>
              </w:rPr>
            </w:pPr>
            <w:r>
              <w:rPr>
                <w:rFonts w:ascii="Noto Sans" w:hAnsi="Noto Sans" w:cs="Noto Sans"/>
                <w:color w:val="000000"/>
                <w:sz w:val="15"/>
                <w:szCs w:val="15"/>
              </w:rPr>
              <w:t>Subcuenta 2 (RJPS2)</w:t>
            </w:r>
          </w:p>
        </w:tc>
        <w:tc>
          <w:tcPr>
            <w:tcW w:w="1513" w:type="dxa"/>
            <w:tcBorders>
              <w:top w:val="nil"/>
              <w:left w:val="nil"/>
              <w:bottom w:val="nil"/>
              <w:right w:val="nil"/>
            </w:tcBorders>
            <w:shd w:val="clear" w:color="000000" w:fill="F2F2F2"/>
            <w:vAlign w:val="center"/>
          </w:tcPr>
          <w:p w14:paraId="1F21D2EA" w14:textId="7A1AEEB1"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154,865,579,593.8</w:t>
            </w:r>
          </w:p>
        </w:tc>
        <w:tc>
          <w:tcPr>
            <w:tcW w:w="1427" w:type="dxa"/>
            <w:tcBorders>
              <w:top w:val="nil"/>
              <w:left w:val="nil"/>
              <w:bottom w:val="nil"/>
              <w:right w:val="nil"/>
            </w:tcBorders>
            <w:shd w:val="clear" w:color="000000" w:fill="F2F2F2"/>
            <w:vAlign w:val="center"/>
          </w:tcPr>
          <w:p w14:paraId="6FA51EE4" w14:textId="0F095D8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4,711,486,117.5</w:t>
            </w:r>
          </w:p>
        </w:tc>
        <w:tc>
          <w:tcPr>
            <w:tcW w:w="910" w:type="dxa"/>
            <w:tcBorders>
              <w:top w:val="nil"/>
              <w:left w:val="nil"/>
              <w:bottom w:val="nil"/>
              <w:right w:val="nil"/>
            </w:tcBorders>
            <w:shd w:val="clear" w:color="000000" w:fill="F2F2F2"/>
            <w:vAlign w:val="center"/>
          </w:tcPr>
          <w:p w14:paraId="2C9F0066" w14:textId="467B36B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ADF0E5C" w14:textId="3B418084"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A36E04D" w14:textId="2E2FCD8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-415,204,708.0</w:t>
            </w:r>
          </w:p>
        </w:tc>
        <w:tc>
          <w:tcPr>
            <w:tcW w:w="1427" w:type="dxa"/>
            <w:tcBorders>
              <w:top w:val="nil"/>
              <w:left w:val="nil"/>
              <w:bottom w:val="nil"/>
              <w:right w:val="nil"/>
            </w:tcBorders>
            <w:shd w:val="clear" w:color="000000" w:fill="F2F2F2"/>
            <w:vAlign w:val="center"/>
          </w:tcPr>
          <w:p w14:paraId="7647ADA1" w14:textId="0D631E8F"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2,168,641,905.3</w:t>
            </w:r>
          </w:p>
        </w:tc>
        <w:tc>
          <w:tcPr>
            <w:tcW w:w="1513" w:type="dxa"/>
            <w:gridSpan w:val="2"/>
            <w:tcBorders>
              <w:top w:val="nil"/>
              <w:left w:val="nil"/>
              <w:bottom w:val="nil"/>
              <w:right w:val="nil"/>
            </w:tcBorders>
            <w:shd w:val="clear" w:color="000000" w:fill="F2F2F2"/>
            <w:vAlign w:val="center"/>
          </w:tcPr>
          <w:p w14:paraId="36DCFA84" w14:textId="1AA3A3CA" w:rsidR="0044669E" w:rsidRPr="000B3585" w:rsidRDefault="0044669E" w:rsidP="0044669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161,330,502,908.6</w:t>
            </w:r>
          </w:p>
        </w:tc>
      </w:tr>
      <w:tr w:rsidR="0044669E" w:rsidRPr="005946C5" w14:paraId="5D4D2373" w14:textId="77777777" w:rsidTr="00F760E9">
        <w:trPr>
          <w:gridAfter w:val="1"/>
          <w:wAfter w:w="29" w:type="dxa"/>
          <w:trHeight w:val="283"/>
          <w:jc w:val="center"/>
        </w:trPr>
        <w:tc>
          <w:tcPr>
            <w:tcW w:w="1321" w:type="dxa"/>
            <w:tcBorders>
              <w:top w:val="nil"/>
              <w:left w:val="nil"/>
              <w:bottom w:val="single" w:sz="12" w:space="0" w:color="A6802D"/>
              <w:right w:val="nil"/>
            </w:tcBorders>
            <w:shd w:val="clear" w:color="000000" w:fill="F2F2F2"/>
            <w:vAlign w:val="center"/>
          </w:tcPr>
          <w:p w14:paraId="0AC79264" w14:textId="2EFEB35D" w:rsidR="0044669E" w:rsidRPr="00662C8C" w:rsidRDefault="0044669E" w:rsidP="0044669E">
            <w:pPr>
              <w:spacing w:after="0" w:line="240" w:lineRule="auto"/>
              <w:rPr>
                <w:rFonts w:ascii="Noto Sans" w:eastAsia="Times New Roman" w:hAnsi="Noto Sans" w:cs="Noto Sans"/>
                <w:b/>
                <w:bCs/>
                <w:color w:val="000000"/>
                <w:sz w:val="15"/>
                <w:szCs w:val="15"/>
                <w:highlight w:val="cyan"/>
                <w:lang w:eastAsia="es-MX"/>
              </w:rPr>
            </w:pPr>
            <w:r>
              <w:rPr>
                <w:rFonts w:ascii="Noto Sans" w:hAnsi="Noto Sans" w:cs="Noto Sans"/>
                <w:b/>
                <w:bCs/>
                <w:color w:val="000000"/>
                <w:sz w:val="15"/>
                <w:szCs w:val="15"/>
              </w:rPr>
              <w:t>Total</w:t>
            </w:r>
          </w:p>
        </w:tc>
        <w:tc>
          <w:tcPr>
            <w:tcW w:w="1513" w:type="dxa"/>
            <w:tcBorders>
              <w:top w:val="nil"/>
              <w:left w:val="nil"/>
              <w:bottom w:val="single" w:sz="12" w:space="0" w:color="A6802D"/>
              <w:right w:val="nil"/>
            </w:tcBorders>
            <w:shd w:val="clear" w:color="000000" w:fill="F2F2F2"/>
            <w:vAlign w:val="center"/>
          </w:tcPr>
          <w:p w14:paraId="2547AA12" w14:textId="2837FE40" w:rsidR="0044669E" w:rsidRPr="000B3585" w:rsidRDefault="0044669E" w:rsidP="0044669E">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508,044,447,368.0</w:t>
            </w:r>
          </w:p>
        </w:tc>
        <w:tc>
          <w:tcPr>
            <w:tcW w:w="1427" w:type="dxa"/>
            <w:tcBorders>
              <w:top w:val="nil"/>
              <w:left w:val="nil"/>
              <w:bottom w:val="single" w:sz="12" w:space="0" w:color="A6802D"/>
              <w:right w:val="nil"/>
            </w:tcBorders>
            <w:shd w:val="clear" w:color="000000" w:fill="F2F2F2"/>
            <w:vAlign w:val="center"/>
          </w:tcPr>
          <w:p w14:paraId="495440AA" w14:textId="6199B3DE" w:rsidR="0044669E" w:rsidRPr="000B3585" w:rsidRDefault="0044669E" w:rsidP="0044669E">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20,901,258,542.9</w:t>
            </w:r>
          </w:p>
        </w:tc>
        <w:tc>
          <w:tcPr>
            <w:tcW w:w="910" w:type="dxa"/>
            <w:tcBorders>
              <w:top w:val="nil"/>
              <w:left w:val="nil"/>
              <w:bottom w:val="single" w:sz="12" w:space="0" w:color="A6802D"/>
              <w:right w:val="nil"/>
            </w:tcBorders>
            <w:shd w:val="clear" w:color="000000" w:fill="F2F2F2"/>
            <w:vAlign w:val="center"/>
          </w:tcPr>
          <w:p w14:paraId="4041A894" w14:textId="24E96652" w:rsidR="0044669E" w:rsidRPr="000B3585" w:rsidRDefault="0044669E" w:rsidP="0044669E">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0.0</w:t>
            </w:r>
          </w:p>
        </w:tc>
        <w:tc>
          <w:tcPr>
            <w:tcW w:w="1417" w:type="dxa"/>
            <w:tcBorders>
              <w:top w:val="nil"/>
              <w:left w:val="nil"/>
              <w:bottom w:val="single" w:sz="12" w:space="0" w:color="A6802D"/>
              <w:right w:val="nil"/>
            </w:tcBorders>
            <w:shd w:val="clear" w:color="000000" w:fill="F2F2F2"/>
            <w:vAlign w:val="center"/>
          </w:tcPr>
          <w:p w14:paraId="31ED020B" w14:textId="1013ECB0" w:rsidR="0044669E" w:rsidRPr="000B3585" w:rsidRDefault="0044669E" w:rsidP="0044669E">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1,260,358,528.1</w:t>
            </w:r>
          </w:p>
        </w:tc>
        <w:tc>
          <w:tcPr>
            <w:tcW w:w="1417" w:type="dxa"/>
            <w:tcBorders>
              <w:top w:val="nil"/>
              <w:left w:val="nil"/>
              <w:bottom w:val="single" w:sz="12" w:space="0" w:color="A6802D"/>
              <w:right w:val="nil"/>
            </w:tcBorders>
            <w:shd w:val="clear" w:color="000000" w:fill="F2F2F2"/>
            <w:vAlign w:val="center"/>
          </w:tcPr>
          <w:p w14:paraId="6C743663" w14:textId="2CDBB45F" w:rsidR="0044669E" w:rsidRPr="000B3585" w:rsidRDefault="0044669E" w:rsidP="0044669E">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3,040,029,764.8</w:t>
            </w:r>
          </w:p>
        </w:tc>
        <w:tc>
          <w:tcPr>
            <w:tcW w:w="1427" w:type="dxa"/>
            <w:tcBorders>
              <w:top w:val="nil"/>
              <w:left w:val="nil"/>
              <w:bottom w:val="single" w:sz="12" w:space="0" w:color="A6802D"/>
              <w:right w:val="nil"/>
            </w:tcBorders>
            <w:shd w:val="clear" w:color="000000" w:fill="F2F2F2"/>
            <w:vAlign w:val="center"/>
          </w:tcPr>
          <w:p w14:paraId="41575E5D" w14:textId="314923FD" w:rsidR="0044669E" w:rsidRPr="000B3585" w:rsidRDefault="0044669E" w:rsidP="0044669E">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67,612,771,577.0</w:t>
            </w:r>
          </w:p>
        </w:tc>
        <w:tc>
          <w:tcPr>
            <w:tcW w:w="1513" w:type="dxa"/>
            <w:gridSpan w:val="2"/>
            <w:tcBorders>
              <w:top w:val="nil"/>
              <w:left w:val="nil"/>
              <w:bottom w:val="single" w:sz="12" w:space="0" w:color="A6802D"/>
              <w:right w:val="nil"/>
            </w:tcBorders>
            <w:shd w:val="clear" w:color="000000" w:fill="F2F2F2"/>
            <w:vAlign w:val="center"/>
          </w:tcPr>
          <w:p w14:paraId="4FCBECED" w14:textId="53CA29AE" w:rsidR="0044669E" w:rsidRPr="000B3585" w:rsidRDefault="0044669E" w:rsidP="0044669E">
            <w:pPr>
              <w:spacing w:after="0" w:line="240" w:lineRule="auto"/>
              <w:jc w:val="right"/>
              <w:rPr>
                <w:rFonts w:ascii="Noto Sans" w:hAnsi="Noto Sans" w:cs="Noto Sans"/>
                <w:b/>
                <w:bCs/>
                <w:color w:val="000000"/>
                <w:sz w:val="15"/>
                <w:szCs w:val="15"/>
              </w:rPr>
            </w:pPr>
            <w:r>
              <w:rPr>
                <w:rFonts w:ascii="Noto Sans" w:hAnsi="Noto Sans" w:cs="Noto Sans"/>
                <w:b/>
                <w:bCs/>
                <w:color w:val="000000"/>
                <w:sz w:val="15"/>
                <w:szCs w:val="15"/>
              </w:rPr>
              <w:t>600,858,865,780.7</w:t>
            </w:r>
          </w:p>
        </w:tc>
      </w:tr>
      <w:tr w:rsidR="003019E2" w:rsidRPr="00274555" w14:paraId="4282A26D" w14:textId="77777777" w:rsidTr="00F760E9">
        <w:trPr>
          <w:trHeight w:val="226"/>
          <w:jc w:val="center"/>
        </w:trPr>
        <w:tc>
          <w:tcPr>
            <w:tcW w:w="10974" w:type="dxa"/>
            <w:gridSpan w:val="10"/>
            <w:tcBorders>
              <w:top w:val="single" w:sz="12" w:space="0" w:color="A6802D"/>
              <w:left w:val="nil"/>
            </w:tcBorders>
          </w:tcPr>
          <w:p w14:paraId="7355ED6F" w14:textId="77777777" w:rsidR="003019E2" w:rsidRPr="00274555" w:rsidRDefault="003019E2" w:rsidP="00FD2CDA">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50D3A65E" w14:textId="77777777" w:rsidR="00662C8C" w:rsidRDefault="00662C8C" w:rsidP="00001AF5">
      <w:pPr>
        <w:pStyle w:val="TEXTONORMAL"/>
      </w:pPr>
    </w:p>
    <w:p w14:paraId="3484C0DF" w14:textId="77777777" w:rsidR="00F760E9" w:rsidRDefault="00F760E9" w:rsidP="00001AF5">
      <w:pPr>
        <w:pStyle w:val="TEXTONORMAL"/>
      </w:pPr>
    </w:p>
    <w:p w14:paraId="0E52184E" w14:textId="77777777" w:rsidR="00AF4E1A" w:rsidRDefault="00AF4E1A" w:rsidP="00001AF5">
      <w:pPr>
        <w:pStyle w:val="TEXTONORMAL"/>
      </w:pPr>
    </w:p>
    <w:p w14:paraId="5411EA4B" w14:textId="77777777" w:rsidR="00AF4E1A" w:rsidRDefault="00AF4E1A" w:rsidP="00001AF5">
      <w:pPr>
        <w:pStyle w:val="TEXTONORMAL"/>
      </w:pPr>
    </w:p>
    <w:tbl>
      <w:tblPr>
        <w:tblW w:w="0" w:type="auto"/>
        <w:jc w:val="center"/>
        <w:tblCellMar>
          <w:left w:w="70" w:type="dxa"/>
          <w:right w:w="70" w:type="dxa"/>
        </w:tblCellMar>
        <w:tblLook w:val="0480" w:firstRow="0" w:lastRow="0" w:firstColumn="1" w:lastColumn="0" w:noHBand="0" w:noVBand="1"/>
      </w:tblPr>
      <w:tblGrid>
        <w:gridCol w:w="1321"/>
        <w:gridCol w:w="1427"/>
        <w:gridCol w:w="1417"/>
        <w:gridCol w:w="910"/>
        <w:gridCol w:w="1417"/>
        <w:gridCol w:w="1417"/>
        <w:gridCol w:w="1417"/>
        <w:gridCol w:w="1416"/>
        <w:gridCol w:w="11"/>
        <w:gridCol w:w="29"/>
      </w:tblGrid>
      <w:tr w:rsidR="00FA3840" w:rsidRPr="005946C5" w14:paraId="082DE6B4" w14:textId="77777777" w:rsidTr="00861B08">
        <w:trPr>
          <w:gridAfter w:val="2"/>
          <w:wAfter w:w="40" w:type="dxa"/>
          <w:trHeight w:val="83"/>
          <w:jc w:val="center"/>
        </w:trPr>
        <w:tc>
          <w:tcPr>
            <w:tcW w:w="132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62A24EFF" w14:textId="77777777" w:rsidR="00001AF5" w:rsidRPr="008E629A" w:rsidRDefault="00001AF5"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9411" w:type="dxa"/>
            <w:gridSpan w:val="7"/>
            <w:tcBorders>
              <w:top w:val="double" w:sz="12" w:space="0" w:color="A6802D"/>
              <w:left w:val="nil"/>
              <w:bottom w:val="single" w:sz="12" w:space="0" w:color="FFFFFF" w:themeColor="background1"/>
            </w:tcBorders>
            <w:shd w:val="clear" w:color="auto" w:fill="A6802D"/>
          </w:tcPr>
          <w:p w14:paraId="07BD673B"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2024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861B08" w:rsidRPr="005946C5" w14:paraId="68099AEF" w14:textId="77777777" w:rsidTr="00861B08">
        <w:trPr>
          <w:gridAfter w:val="1"/>
          <w:wAfter w:w="29" w:type="dxa"/>
          <w:trHeight w:val="28"/>
          <w:jc w:val="center"/>
        </w:trPr>
        <w:tc>
          <w:tcPr>
            <w:tcW w:w="1321" w:type="dxa"/>
            <w:vMerge/>
            <w:tcBorders>
              <w:top w:val="single" w:sz="12" w:space="0" w:color="808080"/>
              <w:left w:val="nil"/>
              <w:bottom w:val="triple" w:sz="12" w:space="0" w:color="A6802D"/>
              <w:right w:val="single" w:sz="12" w:space="0" w:color="FFFFFF"/>
            </w:tcBorders>
            <w:shd w:val="clear" w:color="auto" w:fill="A6802D"/>
            <w:vAlign w:val="center"/>
            <w:hideMark/>
          </w:tcPr>
          <w:p w14:paraId="63F83791" w14:textId="77777777" w:rsidR="00001AF5" w:rsidRPr="008E629A" w:rsidRDefault="00001AF5" w:rsidP="00DD31D5">
            <w:pPr>
              <w:spacing w:after="0" w:line="240" w:lineRule="exact"/>
              <w:jc w:val="center"/>
              <w:rPr>
                <w:rFonts w:ascii="Noto Sans" w:eastAsia="Times New Roman" w:hAnsi="Noto Sans" w:cs="Noto Sans"/>
                <w:b/>
                <w:bCs/>
                <w:color w:val="FFFFFF"/>
                <w:sz w:val="16"/>
                <w:szCs w:val="16"/>
                <w:lang w:eastAsia="es-MX"/>
              </w:rPr>
            </w:pPr>
          </w:p>
        </w:tc>
        <w:tc>
          <w:tcPr>
            <w:tcW w:w="1427"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4478AE03" w14:textId="3DBA818D" w:rsidR="00001AF5" w:rsidRDefault="00394CE4"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64B877FD" w14:textId="77777777" w:rsidR="00001AF5"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910"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13E00904" w14:textId="77777777" w:rsidR="00001AF5"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Deterioro</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14C6ABB5"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Dividendos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4B5FCA6"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Plusvalía/ Minusvalía Validación a Mercado</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74AA2120"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Transferencias </w:t>
            </w:r>
          </w:p>
        </w:tc>
        <w:tc>
          <w:tcPr>
            <w:tcW w:w="1417" w:type="dxa"/>
            <w:gridSpan w:val="2"/>
            <w:tcBorders>
              <w:top w:val="single" w:sz="12" w:space="0" w:color="FFFFFF" w:themeColor="background1"/>
              <w:left w:val="nil"/>
              <w:bottom w:val="triple" w:sz="12" w:space="0" w:color="A6802D"/>
            </w:tcBorders>
            <w:shd w:val="clear" w:color="auto" w:fill="A6802D"/>
            <w:vAlign w:val="center"/>
          </w:tcPr>
          <w:p w14:paraId="3DC5CB00" w14:textId="77777777" w:rsidR="00001AF5" w:rsidRPr="008E629A" w:rsidRDefault="00001AF5" w:rsidP="00001AF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662C8C" w:rsidRPr="005946C5" w14:paraId="2B14FAF8" w14:textId="77777777" w:rsidTr="001A6E3D">
        <w:trPr>
          <w:gridAfter w:val="1"/>
          <w:wAfter w:w="29" w:type="dxa"/>
          <w:trHeight w:val="283"/>
          <w:jc w:val="center"/>
        </w:trPr>
        <w:tc>
          <w:tcPr>
            <w:tcW w:w="1321" w:type="dxa"/>
            <w:tcBorders>
              <w:top w:val="triple" w:sz="12" w:space="0" w:color="A6802D"/>
              <w:left w:val="nil"/>
              <w:bottom w:val="nil"/>
              <w:right w:val="nil"/>
            </w:tcBorders>
            <w:shd w:val="clear" w:color="000000" w:fill="F2F2F2"/>
            <w:vAlign w:val="center"/>
          </w:tcPr>
          <w:p w14:paraId="5389BE28"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eastAsia="Times New Roman" w:hAnsi="Noto Sans" w:cs="Noto Sans"/>
                <w:color w:val="000000"/>
                <w:sz w:val="15"/>
                <w:szCs w:val="15"/>
                <w:lang w:eastAsia="es-MX"/>
              </w:rPr>
              <w:t>Reservas</w:t>
            </w:r>
            <w:r w:rsidRPr="00662C8C">
              <w:rPr>
                <w:rFonts w:ascii="Noto Sans" w:hAnsi="Noto Sans" w:cs="Noto Sans"/>
                <w:color w:val="000000"/>
                <w:sz w:val="15"/>
                <w:szCs w:val="15"/>
              </w:rPr>
              <w:t xml:space="preserve"> Operativas (RO)</w:t>
            </w:r>
          </w:p>
        </w:tc>
        <w:tc>
          <w:tcPr>
            <w:tcW w:w="1427" w:type="dxa"/>
            <w:tcBorders>
              <w:top w:val="triple" w:sz="12" w:space="0" w:color="A6802D"/>
              <w:left w:val="nil"/>
              <w:bottom w:val="nil"/>
              <w:right w:val="nil"/>
            </w:tcBorders>
            <w:shd w:val="clear" w:color="000000" w:fill="F2F2F2"/>
            <w:vAlign w:val="center"/>
          </w:tcPr>
          <w:p w14:paraId="6650DD9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31,141,439,454.7</w:t>
            </w:r>
          </w:p>
        </w:tc>
        <w:tc>
          <w:tcPr>
            <w:tcW w:w="1417" w:type="dxa"/>
            <w:tcBorders>
              <w:top w:val="triple" w:sz="12" w:space="0" w:color="A6802D"/>
              <w:left w:val="nil"/>
              <w:bottom w:val="nil"/>
              <w:right w:val="nil"/>
            </w:tcBorders>
            <w:shd w:val="clear" w:color="000000" w:fill="F2F2F2"/>
            <w:vAlign w:val="center"/>
          </w:tcPr>
          <w:p w14:paraId="4752F57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7,277,523,728.2</w:t>
            </w:r>
          </w:p>
        </w:tc>
        <w:tc>
          <w:tcPr>
            <w:tcW w:w="910" w:type="dxa"/>
            <w:tcBorders>
              <w:top w:val="triple" w:sz="12" w:space="0" w:color="A6802D"/>
              <w:left w:val="nil"/>
              <w:bottom w:val="nil"/>
              <w:right w:val="nil"/>
            </w:tcBorders>
            <w:shd w:val="clear" w:color="000000" w:fill="F2F2F2"/>
            <w:vAlign w:val="center"/>
          </w:tcPr>
          <w:p w14:paraId="54A0258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1ECDA96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52E9A99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691AF9E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6,307,273,303.8</w:t>
            </w:r>
          </w:p>
        </w:tc>
        <w:tc>
          <w:tcPr>
            <w:tcW w:w="1417" w:type="dxa"/>
            <w:gridSpan w:val="2"/>
            <w:tcBorders>
              <w:top w:val="triple" w:sz="12" w:space="0" w:color="A6802D"/>
              <w:left w:val="nil"/>
              <w:bottom w:val="nil"/>
              <w:right w:val="nil"/>
            </w:tcBorders>
            <w:shd w:val="clear" w:color="000000" w:fill="F2F2F2"/>
            <w:vAlign w:val="center"/>
          </w:tcPr>
          <w:p w14:paraId="4AF16DF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44,726,236,486.7</w:t>
            </w:r>
          </w:p>
        </w:tc>
      </w:tr>
      <w:tr w:rsidR="002652E2" w:rsidRPr="00FC0913" w14:paraId="5B63F371"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5EECCC31"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Reserva para Contingencia y Financiamiento (ROCF)</w:t>
            </w:r>
          </w:p>
        </w:tc>
        <w:tc>
          <w:tcPr>
            <w:tcW w:w="1427" w:type="dxa"/>
            <w:tcBorders>
              <w:top w:val="nil"/>
              <w:left w:val="nil"/>
              <w:bottom w:val="nil"/>
              <w:right w:val="nil"/>
            </w:tcBorders>
            <w:shd w:val="clear" w:color="000000" w:fill="F2F2F2"/>
            <w:vAlign w:val="center"/>
          </w:tcPr>
          <w:p w14:paraId="3D62544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78,044,106,360.2</w:t>
            </w:r>
          </w:p>
        </w:tc>
        <w:tc>
          <w:tcPr>
            <w:tcW w:w="1417" w:type="dxa"/>
            <w:tcBorders>
              <w:top w:val="nil"/>
              <w:left w:val="nil"/>
              <w:bottom w:val="nil"/>
              <w:right w:val="nil"/>
            </w:tcBorders>
            <w:shd w:val="clear" w:color="000000" w:fill="F2F2F2"/>
            <w:vAlign w:val="center"/>
          </w:tcPr>
          <w:p w14:paraId="004932B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11,315,707,674.9</w:t>
            </w:r>
          </w:p>
        </w:tc>
        <w:tc>
          <w:tcPr>
            <w:tcW w:w="910" w:type="dxa"/>
            <w:tcBorders>
              <w:top w:val="nil"/>
              <w:left w:val="nil"/>
              <w:bottom w:val="nil"/>
              <w:right w:val="nil"/>
            </w:tcBorders>
            <w:shd w:val="clear" w:color="000000" w:fill="F2F2F2"/>
            <w:vAlign w:val="center"/>
          </w:tcPr>
          <w:p w14:paraId="132C66E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974C1D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F3D9BC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98EB7B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26,123,782,089.9</w:t>
            </w:r>
          </w:p>
        </w:tc>
        <w:tc>
          <w:tcPr>
            <w:tcW w:w="1417" w:type="dxa"/>
            <w:gridSpan w:val="2"/>
            <w:tcBorders>
              <w:top w:val="nil"/>
              <w:left w:val="nil"/>
              <w:bottom w:val="nil"/>
              <w:right w:val="nil"/>
            </w:tcBorders>
            <w:shd w:val="clear" w:color="000000" w:fill="F2F2F2"/>
            <w:vAlign w:val="center"/>
          </w:tcPr>
          <w:p w14:paraId="732B3382"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115,483,596,125.0</w:t>
            </w:r>
          </w:p>
        </w:tc>
      </w:tr>
      <w:tr w:rsidR="002652E2" w:rsidRPr="00FC0913" w14:paraId="0BD0CEE3"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247F2193"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Reserva General Financiera y Actuarial (RGFA)</w:t>
            </w:r>
          </w:p>
        </w:tc>
        <w:tc>
          <w:tcPr>
            <w:tcW w:w="1427" w:type="dxa"/>
            <w:tcBorders>
              <w:top w:val="nil"/>
              <w:left w:val="nil"/>
              <w:bottom w:val="nil"/>
              <w:right w:val="nil"/>
            </w:tcBorders>
            <w:shd w:val="clear" w:color="000000" w:fill="F2F2F2"/>
            <w:vAlign w:val="center"/>
          </w:tcPr>
          <w:p w14:paraId="3C37D0F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10,644,075,867.7</w:t>
            </w:r>
          </w:p>
        </w:tc>
        <w:tc>
          <w:tcPr>
            <w:tcW w:w="1417" w:type="dxa"/>
            <w:tcBorders>
              <w:top w:val="nil"/>
              <w:left w:val="nil"/>
              <w:bottom w:val="nil"/>
              <w:right w:val="nil"/>
            </w:tcBorders>
            <w:shd w:val="clear" w:color="000000" w:fill="F2F2F2"/>
            <w:vAlign w:val="center"/>
          </w:tcPr>
          <w:p w14:paraId="4458F916"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1,419,014,809.3</w:t>
            </w:r>
          </w:p>
        </w:tc>
        <w:tc>
          <w:tcPr>
            <w:tcW w:w="910" w:type="dxa"/>
            <w:tcBorders>
              <w:top w:val="nil"/>
              <w:left w:val="nil"/>
              <w:bottom w:val="nil"/>
              <w:right w:val="nil"/>
            </w:tcBorders>
            <w:shd w:val="clear" w:color="000000" w:fill="F2F2F2"/>
            <w:vAlign w:val="center"/>
          </w:tcPr>
          <w:p w14:paraId="24589AE8"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63B8EE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5E6C90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1B9FA1C"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3,497,646,018.9</w:t>
            </w:r>
          </w:p>
        </w:tc>
        <w:tc>
          <w:tcPr>
            <w:tcW w:w="1417" w:type="dxa"/>
            <w:gridSpan w:val="2"/>
            <w:tcBorders>
              <w:top w:val="nil"/>
              <w:left w:val="nil"/>
              <w:bottom w:val="nil"/>
              <w:right w:val="nil"/>
            </w:tcBorders>
            <w:shd w:val="clear" w:color="000000" w:fill="F2F2F2"/>
            <w:vAlign w:val="center"/>
          </w:tcPr>
          <w:p w14:paraId="36BD00B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15,560,736,695.9</w:t>
            </w:r>
          </w:p>
        </w:tc>
      </w:tr>
      <w:tr w:rsidR="002652E2" w:rsidRPr="00FC0913" w14:paraId="737D2CE8"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649D979B"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 xml:space="preserve">RFA Gastos Médicos de Pensionados </w:t>
            </w:r>
          </w:p>
        </w:tc>
        <w:tc>
          <w:tcPr>
            <w:tcW w:w="1427" w:type="dxa"/>
            <w:tcBorders>
              <w:top w:val="nil"/>
              <w:left w:val="nil"/>
              <w:bottom w:val="nil"/>
              <w:right w:val="nil"/>
            </w:tcBorders>
            <w:shd w:val="clear" w:color="000000" w:fill="F2F2F2"/>
            <w:vAlign w:val="center"/>
          </w:tcPr>
          <w:p w14:paraId="0CCDF78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40,369,086,308.8</w:t>
            </w:r>
          </w:p>
        </w:tc>
        <w:tc>
          <w:tcPr>
            <w:tcW w:w="1417" w:type="dxa"/>
            <w:tcBorders>
              <w:top w:val="nil"/>
              <w:left w:val="nil"/>
              <w:bottom w:val="nil"/>
              <w:right w:val="nil"/>
            </w:tcBorders>
            <w:shd w:val="clear" w:color="000000" w:fill="F2F2F2"/>
            <w:vAlign w:val="center"/>
          </w:tcPr>
          <w:p w14:paraId="549E47F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4,260,776,163.8</w:t>
            </w:r>
          </w:p>
        </w:tc>
        <w:tc>
          <w:tcPr>
            <w:tcW w:w="910" w:type="dxa"/>
            <w:tcBorders>
              <w:top w:val="nil"/>
              <w:left w:val="nil"/>
              <w:bottom w:val="nil"/>
              <w:right w:val="nil"/>
            </w:tcBorders>
            <w:shd w:val="clear" w:color="000000" w:fill="F2F2F2"/>
            <w:vAlign w:val="center"/>
          </w:tcPr>
          <w:p w14:paraId="573CB37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EBDAE0D"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DCB100C"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976,821,603.1</w:t>
            </w:r>
          </w:p>
        </w:tc>
        <w:tc>
          <w:tcPr>
            <w:tcW w:w="1417" w:type="dxa"/>
            <w:tcBorders>
              <w:top w:val="nil"/>
              <w:left w:val="nil"/>
              <w:bottom w:val="nil"/>
              <w:right w:val="nil"/>
            </w:tcBorders>
            <w:shd w:val="clear" w:color="000000" w:fill="F2F2F2"/>
            <w:vAlign w:val="center"/>
          </w:tcPr>
          <w:p w14:paraId="523388B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7,671.1</w:t>
            </w:r>
          </w:p>
        </w:tc>
        <w:tc>
          <w:tcPr>
            <w:tcW w:w="1417" w:type="dxa"/>
            <w:gridSpan w:val="2"/>
            <w:tcBorders>
              <w:top w:val="nil"/>
              <w:left w:val="nil"/>
              <w:bottom w:val="nil"/>
              <w:right w:val="nil"/>
            </w:tcBorders>
            <w:shd w:val="clear" w:color="000000" w:fill="F2F2F2"/>
            <w:vAlign w:val="center"/>
          </w:tcPr>
          <w:p w14:paraId="1E105442"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45,606,691,746.8</w:t>
            </w:r>
          </w:p>
        </w:tc>
      </w:tr>
      <w:tr w:rsidR="002652E2" w:rsidRPr="00FC0913" w14:paraId="7266E9D2"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2430C4AE"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 xml:space="preserve">RFA Seguro de Enfermedad y Maternidad </w:t>
            </w:r>
          </w:p>
        </w:tc>
        <w:tc>
          <w:tcPr>
            <w:tcW w:w="1427" w:type="dxa"/>
            <w:tcBorders>
              <w:top w:val="nil"/>
              <w:left w:val="nil"/>
              <w:bottom w:val="nil"/>
              <w:right w:val="nil"/>
            </w:tcBorders>
            <w:shd w:val="clear" w:color="000000" w:fill="F2F2F2"/>
            <w:vAlign w:val="center"/>
          </w:tcPr>
          <w:p w14:paraId="7DF61F8C"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68,964,983,436.6</w:t>
            </w:r>
          </w:p>
        </w:tc>
        <w:tc>
          <w:tcPr>
            <w:tcW w:w="1417" w:type="dxa"/>
            <w:tcBorders>
              <w:top w:val="nil"/>
              <w:left w:val="nil"/>
              <w:bottom w:val="nil"/>
              <w:right w:val="nil"/>
            </w:tcBorders>
            <w:shd w:val="clear" w:color="000000" w:fill="F2F2F2"/>
            <w:vAlign w:val="center"/>
          </w:tcPr>
          <w:p w14:paraId="662543F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7,295,732,909.2</w:t>
            </w:r>
          </w:p>
        </w:tc>
        <w:tc>
          <w:tcPr>
            <w:tcW w:w="910" w:type="dxa"/>
            <w:tcBorders>
              <w:top w:val="nil"/>
              <w:left w:val="nil"/>
              <w:bottom w:val="nil"/>
              <w:right w:val="nil"/>
            </w:tcBorders>
            <w:shd w:val="clear" w:color="000000" w:fill="F2F2F2"/>
            <w:vAlign w:val="center"/>
          </w:tcPr>
          <w:p w14:paraId="3EADD36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D94848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5AD85B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-955,657,915.7</w:t>
            </w:r>
          </w:p>
        </w:tc>
        <w:tc>
          <w:tcPr>
            <w:tcW w:w="1417" w:type="dxa"/>
            <w:tcBorders>
              <w:top w:val="nil"/>
              <w:left w:val="nil"/>
              <w:bottom w:val="nil"/>
              <w:right w:val="nil"/>
            </w:tcBorders>
            <w:shd w:val="clear" w:color="000000" w:fill="F2F2F2"/>
            <w:vAlign w:val="center"/>
          </w:tcPr>
          <w:p w14:paraId="5CEF805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-3,550.2</w:t>
            </w:r>
          </w:p>
        </w:tc>
        <w:tc>
          <w:tcPr>
            <w:tcW w:w="1417" w:type="dxa"/>
            <w:gridSpan w:val="2"/>
            <w:tcBorders>
              <w:top w:val="nil"/>
              <w:left w:val="nil"/>
              <w:bottom w:val="nil"/>
              <w:right w:val="nil"/>
            </w:tcBorders>
            <w:shd w:val="clear" w:color="000000" w:fill="F2F2F2"/>
            <w:vAlign w:val="center"/>
          </w:tcPr>
          <w:p w14:paraId="6B1A7E2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75,305,054,879.9</w:t>
            </w:r>
          </w:p>
        </w:tc>
      </w:tr>
      <w:tr w:rsidR="002652E2" w:rsidRPr="00FC0913" w14:paraId="39117C58"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71251219"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RFA Guarderías y Prestaciones Sociales</w:t>
            </w:r>
          </w:p>
        </w:tc>
        <w:tc>
          <w:tcPr>
            <w:tcW w:w="1427" w:type="dxa"/>
            <w:tcBorders>
              <w:top w:val="nil"/>
              <w:left w:val="nil"/>
              <w:bottom w:val="nil"/>
              <w:right w:val="nil"/>
            </w:tcBorders>
            <w:shd w:val="clear" w:color="000000" w:fill="F2F2F2"/>
            <w:vAlign w:val="center"/>
          </w:tcPr>
          <w:p w14:paraId="3634502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301,450,299.3</w:t>
            </w:r>
          </w:p>
        </w:tc>
        <w:tc>
          <w:tcPr>
            <w:tcW w:w="1417" w:type="dxa"/>
            <w:tcBorders>
              <w:top w:val="nil"/>
              <w:left w:val="nil"/>
              <w:bottom w:val="nil"/>
              <w:right w:val="nil"/>
            </w:tcBorders>
            <w:shd w:val="clear" w:color="000000" w:fill="F2F2F2"/>
            <w:vAlign w:val="center"/>
          </w:tcPr>
          <w:p w14:paraId="0FF4BB5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88,077,550.2</w:t>
            </w:r>
          </w:p>
        </w:tc>
        <w:tc>
          <w:tcPr>
            <w:tcW w:w="910" w:type="dxa"/>
            <w:tcBorders>
              <w:top w:val="nil"/>
              <w:left w:val="nil"/>
              <w:bottom w:val="nil"/>
              <w:right w:val="nil"/>
            </w:tcBorders>
            <w:shd w:val="clear" w:color="000000" w:fill="F2F2F2"/>
            <w:vAlign w:val="center"/>
          </w:tcPr>
          <w:p w14:paraId="3AC4EA0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F51EE9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53A387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-356,445.3</w:t>
            </w:r>
          </w:p>
        </w:tc>
        <w:tc>
          <w:tcPr>
            <w:tcW w:w="1417" w:type="dxa"/>
            <w:tcBorders>
              <w:top w:val="nil"/>
              <w:left w:val="nil"/>
              <w:bottom w:val="nil"/>
              <w:right w:val="nil"/>
            </w:tcBorders>
            <w:shd w:val="clear" w:color="000000" w:fill="F2F2F2"/>
            <w:vAlign w:val="center"/>
          </w:tcPr>
          <w:p w14:paraId="55944C5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1,094,258,302.4</w:t>
            </w:r>
          </w:p>
        </w:tc>
        <w:tc>
          <w:tcPr>
            <w:tcW w:w="1417" w:type="dxa"/>
            <w:gridSpan w:val="2"/>
            <w:tcBorders>
              <w:top w:val="nil"/>
              <w:left w:val="nil"/>
              <w:bottom w:val="nil"/>
              <w:right w:val="nil"/>
            </w:tcBorders>
            <w:shd w:val="clear" w:color="000000" w:fill="F2F2F2"/>
            <w:vAlign w:val="center"/>
          </w:tcPr>
          <w:p w14:paraId="3541D19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1,483,429,706.6</w:t>
            </w:r>
          </w:p>
        </w:tc>
      </w:tr>
      <w:tr w:rsidR="00662C8C" w:rsidRPr="00FC0913" w14:paraId="5DFED553"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6EDC1F8C"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RFA Invalidez y Vida</w:t>
            </w:r>
          </w:p>
        </w:tc>
        <w:tc>
          <w:tcPr>
            <w:tcW w:w="1427" w:type="dxa"/>
            <w:tcBorders>
              <w:top w:val="nil"/>
              <w:left w:val="nil"/>
              <w:bottom w:val="nil"/>
              <w:right w:val="nil"/>
            </w:tcBorders>
            <w:shd w:val="clear" w:color="000000" w:fill="F2F2F2"/>
            <w:vAlign w:val="center"/>
          </w:tcPr>
          <w:p w14:paraId="0DB3271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21,510,812,780.4</w:t>
            </w:r>
          </w:p>
        </w:tc>
        <w:tc>
          <w:tcPr>
            <w:tcW w:w="1417" w:type="dxa"/>
            <w:tcBorders>
              <w:top w:val="nil"/>
              <w:left w:val="nil"/>
              <w:bottom w:val="nil"/>
              <w:right w:val="nil"/>
            </w:tcBorders>
            <w:shd w:val="clear" w:color="000000" w:fill="F2F2F2"/>
            <w:vAlign w:val="center"/>
          </w:tcPr>
          <w:p w14:paraId="2CEE453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2,327,638,400.3</w:t>
            </w:r>
          </w:p>
        </w:tc>
        <w:tc>
          <w:tcPr>
            <w:tcW w:w="910" w:type="dxa"/>
            <w:tcBorders>
              <w:top w:val="nil"/>
              <w:left w:val="nil"/>
              <w:bottom w:val="nil"/>
              <w:right w:val="nil"/>
            </w:tcBorders>
            <w:shd w:val="clear" w:color="000000" w:fill="F2F2F2"/>
            <w:vAlign w:val="center"/>
          </w:tcPr>
          <w:p w14:paraId="4BE11B01"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5D5C3A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649,457,094.6</w:t>
            </w:r>
          </w:p>
        </w:tc>
        <w:tc>
          <w:tcPr>
            <w:tcW w:w="1417" w:type="dxa"/>
            <w:tcBorders>
              <w:top w:val="nil"/>
              <w:left w:val="nil"/>
              <w:bottom w:val="nil"/>
              <w:right w:val="nil"/>
            </w:tcBorders>
            <w:shd w:val="clear" w:color="000000" w:fill="F2F2F2"/>
            <w:vAlign w:val="center"/>
          </w:tcPr>
          <w:p w14:paraId="44C0237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481,612,091.9</w:t>
            </w:r>
          </w:p>
        </w:tc>
        <w:tc>
          <w:tcPr>
            <w:tcW w:w="1417" w:type="dxa"/>
            <w:tcBorders>
              <w:top w:val="nil"/>
              <w:left w:val="nil"/>
              <w:bottom w:val="nil"/>
              <w:right w:val="nil"/>
            </w:tcBorders>
            <w:shd w:val="clear" w:color="000000" w:fill="F2F2F2"/>
            <w:vAlign w:val="center"/>
          </w:tcPr>
          <w:p w14:paraId="1A1DED8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7,026.9</w:t>
            </w:r>
          </w:p>
        </w:tc>
        <w:tc>
          <w:tcPr>
            <w:tcW w:w="1417" w:type="dxa"/>
            <w:gridSpan w:val="2"/>
            <w:tcBorders>
              <w:top w:val="nil"/>
              <w:left w:val="nil"/>
              <w:bottom w:val="nil"/>
              <w:right w:val="nil"/>
            </w:tcBorders>
            <w:shd w:val="clear" w:color="000000" w:fill="F2F2F2"/>
            <w:vAlign w:val="center"/>
          </w:tcPr>
          <w:p w14:paraId="092EA865"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24,969,527,394.1</w:t>
            </w:r>
          </w:p>
        </w:tc>
      </w:tr>
      <w:tr w:rsidR="00662C8C" w:rsidRPr="00FC0913" w14:paraId="1F431793"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144AB88E"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RFA Riesgo de Trabajo</w:t>
            </w:r>
          </w:p>
        </w:tc>
        <w:tc>
          <w:tcPr>
            <w:tcW w:w="1427" w:type="dxa"/>
            <w:tcBorders>
              <w:top w:val="nil"/>
              <w:left w:val="nil"/>
              <w:bottom w:val="nil"/>
              <w:right w:val="nil"/>
            </w:tcBorders>
            <w:shd w:val="clear" w:color="000000" w:fill="F2F2F2"/>
            <w:vAlign w:val="center"/>
          </w:tcPr>
          <w:p w14:paraId="1196EC8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16,375,307,643.1</w:t>
            </w:r>
          </w:p>
        </w:tc>
        <w:tc>
          <w:tcPr>
            <w:tcW w:w="1417" w:type="dxa"/>
            <w:tcBorders>
              <w:top w:val="nil"/>
              <w:left w:val="nil"/>
              <w:bottom w:val="nil"/>
              <w:right w:val="nil"/>
            </w:tcBorders>
            <w:shd w:val="clear" w:color="000000" w:fill="F2F2F2"/>
            <w:vAlign w:val="center"/>
          </w:tcPr>
          <w:p w14:paraId="65FD328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1,763,660,642.3</w:t>
            </w:r>
          </w:p>
        </w:tc>
        <w:tc>
          <w:tcPr>
            <w:tcW w:w="910" w:type="dxa"/>
            <w:tcBorders>
              <w:top w:val="nil"/>
              <w:left w:val="nil"/>
              <w:bottom w:val="nil"/>
              <w:right w:val="nil"/>
            </w:tcBorders>
            <w:shd w:val="clear" w:color="000000" w:fill="F2F2F2"/>
            <w:vAlign w:val="center"/>
          </w:tcPr>
          <w:p w14:paraId="3D87B74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A8E5FDB"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516,606,752.6</w:t>
            </w:r>
          </w:p>
        </w:tc>
        <w:tc>
          <w:tcPr>
            <w:tcW w:w="1417" w:type="dxa"/>
            <w:tcBorders>
              <w:top w:val="nil"/>
              <w:left w:val="nil"/>
              <w:bottom w:val="nil"/>
              <w:right w:val="nil"/>
            </w:tcBorders>
            <w:shd w:val="clear" w:color="000000" w:fill="F2F2F2"/>
            <w:vAlign w:val="center"/>
          </w:tcPr>
          <w:p w14:paraId="63001838"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366,841,474.8</w:t>
            </w:r>
          </w:p>
        </w:tc>
        <w:tc>
          <w:tcPr>
            <w:tcW w:w="1417" w:type="dxa"/>
            <w:tcBorders>
              <w:top w:val="nil"/>
              <w:left w:val="nil"/>
              <w:bottom w:val="nil"/>
              <w:right w:val="nil"/>
            </w:tcBorders>
            <w:shd w:val="clear" w:color="000000" w:fill="F2F2F2"/>
            <w:vAlign w:val="center"/>
          </w:tcPr>
          <w:p w14:paraId="15ADF70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387.8</w:t>
            </w:r>
          </w:p>
        </w:tc>
        <w:tc>
          <w:tcPr>
            <w:tcW w:w="1417" w:type="dxa"/>
            <w:gridSpan w:val="2"/>
            <w:tcBorders>
              <w:top w:val="nil"/>
              <w:left w:val="nil"/>
              <w:bottom w:val="nil"/>
              <w:right w:val="nil"/>
            </w:tcBorders>
            <w:shd w:val="clear" w:color="000000" w:fill="F2F2F2"/>
            <w:vAlign w:val="center"/>
          </w:tcPr>
          <w:p w14:paraId="4DE9D95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19,022,416,900.6</w:t>
            </w:r>
          </w:p>
        </w:tc>
      </w:tr>
      <w:tr w:rsidR="00662C8C" w:rsidRPr="00FC0913" w14:paraId="05DEB3F2"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6BEC34BF"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Subcuenta 1 (RJPS1)</w:t>
            </w:r>
          </w:p>
        </w:tc>
        <w:tc>
          <w:tcPr>
            <w:tcW w:w="1427" w:type="dxa"/>
            <w:tcBorders>
              <w:top w:val="nil"/>
              <w:left w:val="nil"/>
              <w:bottom w:val="nil"/>
              <w:right w:val="nil"/>
            </w:tcBorders>
            <w:shd w:val="clear" w:color="000000" w:fill="F2F2F2"/>
            <w:vAlign w:val="center"/>
          </w:tcPr>
          <w:p w14:paraId="5FB07520"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8,818,522,384.2</w:t>
            </w:r>
          </w:p>
        </w:tc>
        <w:tc>
          <w:tcPr>
            <w:tcW w:w="1417" w:type="dxa"/>
            <w:tcBorders>
              <w:top w:val="nil"/>
              <w:left w:val="nil"/>
              <w:bottom w:val="nil"/>
              <w:right w:val="nil"/>
            </w:tcBorders>
            <w:shd w:val="clear" w:color="000000" w:fill="F2F2F2"/>
            <w:vAlign w:val="center"/>
          </w:tcPr>
          <w:p w14:paraId="0F8A42A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1,065,868,134.5</w:t>
            </w:r>
          </w:p>
        </w:tc>
        <w:tc>
          <w:tcPr>
            <w:tcW w:w="910" w:type="dxa"/>
            <w:tcBorders>
              <w:top w:val="nil"/>
              <w:left w:val="nil"/>
              <w:bottom w:val="nil"/>
              <w:right w:val="nil"/>
            </w:tcBorders>
            <w:shd w:val="clear" w:color="000000" w:fill="F2F2F2"/>
            <w:vAlign w:val="center"/>
          </w:tcPr>
          <w:p w14:paraId="462B444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4E72233"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217C02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-136,844,438.6</w:t>
            </w:r>
          </w:p>
        </w:tc>
        <w:tc>
          <w:tcPr>
            <w:tcW w:w="1417" w:type="dxa"/>
            <w:tcBorders>
              <w:top w:val="nil"/>
              <w:left w:val="nil"/>
              <w:bottom w:val="nil"/>
              <w:right w:val="nil"/>
            </w:tcBorders>
            <w:shd w:val="clear" w:color="000000" w:fill="F2F2F2"/>
            <w:vAlign w:val="center"/>
          </w:tcPr>
          <w:p w14:paraId="5433E997"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1,273,631,758.5</w:t>
            </w:r>
          </w:p>
        </w:tc>
        <w:tc>
          <w:tcPr>
            <w:tcW w:w="1417" w:type="dxa"/>
            <w:gridSpan w:val="2"/>
            <w:tcBorders>
              <w:top w:val="nil"/>
              <w:left w:val="nil"/>
              <w:bottom w:val="nil"/>
              <w:right w:val="nil"/>
            </w:tcBorders>
            <w:shd w:val="clear" w:color="000000" w:fill="F2F2F2"/>
            <w:vAlign w:val="center"/>
          </w:tcPr>
          <w:p w14:paraId="669539FE"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11,021,177,838.6</w:t>
            </w:r>
          </w:p>
        </w:tc>
      </w:tr>
      <w:tr w:rsidR="00662C8C" w:rsidRPr="00FC0913" w14:paraId="529B215E" w14:textId="77777777" w:rsidTr="001A6E3D">
        <w:trPr>
          <w:gridAfter w:val="1"/>
          <w:wAfter w:w="29" w:type="dxa"/>
          <w:trHeight w:val="283"/>
          <w:jc w:val="center"/>
        </w:trPr>
        <w:tc>
          <w:tcPr>
            <w:tcW w:w="1321" w:type="dxa"/>
            <w:tcBorders>
              <w:top w:val="nil"/>
              <w:left w:val="nil"/>
              <w:bottom w:val="nil"/>
              <w:right w:val="nil"/>
            </w:tcBorders>
            <w:shd w:val="clear" w:color="000000" w:fill="F2F2F2"/>
            <w:vAlign w:val="center"/>
          </w:tcPr>
          <w:p w14:paraId="4BAA0941" w14:textId="77777777" w:rsidR="00FA3840" w:rsidRPr="00662C8C" w:rsidRDefault="00FA3840" w:rsidP="00DD31D5">
            <w:pPr>
              <w:spacing w:after="0" w:line="240" w:lineRule="auto"/>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Subcuenta 2 (RJPS2)</w:t>
            </w:r>
          </w:p>
        </w:tc>
        <w:tc>
          <w:tcPr>
            <w:tcW w:w="1427" w:type="dxa"/>
            <w:tcBorders>
              <w:top w:val="nil"/>
              <w:left w:val="nil"/>
              <w:bottom w:val="nil"/>
              <w:right w:val="nil"/>
            </w:tcBorders>
            <w:shd w:val="clear" w:color="000000" w:fill="F2F2F2"/>
            <w:vAlign w:val="center"/>
          </w:tcPr>
          <w:p w14:paraId="5531E13F"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130,101,038,021.0</w:t>
            </w:r>
          </w:p>
        </w:tc>
        <w:tc>
          <w:tcPr>
            <w:tcW w:w="1417" w:type="dxa"/>
            <w:tcBorders>
              <w:top w:val="nil"/>
              <w:left w:val="nil"/>
              <w:bottom w:val="nil"/>
              <w:right w:val="nil"/>
            </w:tcBorders>
            <w:shd w:val="clear" w:color="000000" w:fill="F2F2F2"/>
            <w:vAlign w:val="center"/>
          </w:tcPr>
          <w:p w14:paraId="759B1788"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9,089,713,215.7</w:t>
            </w:r>
          </w:p>
        </w:tc>
        <w:tc>
          <w:tcPr>
            <w:tcW w:w="910" w:type="dxa"/>
            <w:tcBorders>
              <w:top w:val="nil"/>
              <w:left w:val="nil"/>
              <w:bottom w:val="nil"/>
              <w:right w:val="nil"/>
            </w:tcBorders>
            <w:shd w:val="clear" w:color="000000" w:fill="F2F2F2"/>
            <w:vAlign w:val="center"/>
          </w:tcPr>
          <w:p w14:paraId="59E2C0F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6B1136EA"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E74ACE4"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11,131,766,472.5</w:t>
            </w:r>
          </w:p>
        </w:tc>
        <w:tc>
          <w:tcPr>
            <w:tcW w:w="1417" w:type="dxa"/>
            <w:tcBorders>
              <w:top w:val="nil"/>
              <w:left w:val="nil"/>
              <w:bottom w:val="nil"/>
              <w:right w:val="nil"/>
            </w:tcBorders>
            <w:shd w:val="clear" w:color="000000" w:fill="F2F2F2"/>
            <w:vAlign w:val="center"/>
          </w:tcPr>
          <w:p w14:paraId="2D19604D"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4,543,061,884.6</w:t>
            </w:r>
          </w:p>
        </w:tc>
        <w:tc>
          <w:tcPr>
            <w:tcW w:w="1417" w:type="dxa"/>
            <w:gridSpan w:val="2"/>
            <w:tcBorders>
              <w:top w:val="nil"/>
              <w:left w:val="nil"/>
              <w:bottom w:val="nil"/>
              <w:right w:val="nil"/>
            </w:tcBorders>
            <w:shd w:val="clear" w:color="000000" w:fill="F2F2F2"/>
            <w:vAlign w:val="center"/>
          </w:tcPr>
          <w:p w14:paraId="419029A9" w14:textId="77777777" w:rsidR="00FA3840" w:rsidRPr="00662C8C" w:rsidRDefault="00FA3840" w:rsidP="00DD31D5">
            <w:pPr>
              <w:spacing w:after="0" w:line="240" w:lineRule="auto"/>
              <w:jc w:val="right"/>
              <w:rPr>
                <w:rFonts w:ascii="Noto Sans" w:eastAsia="Times New Roman" w:hAnsi="Noto Sans" w:cs="Noto Sans"/>
                <w:color w:val="000000"/>
                <w:sz w:val="15"/>
                <w:szCs w:val="15"/>
                <w:highlight w:val="cyan"/>
                <w:lang w:eastAsia="es-MX"/>
              </w:rPr>
            </w:pPr>
            <w:r w:rsidRPr="00662C8C">
              <w:rPr>
                <w:rFonts w:ascii="Noto Sans" w:hAnsi="Noto Sans" w:cs="Noto Sans"/>
                <w:color w:val="000000"/>
                <w:sz w:val="15"/>
                <w:szCs w:val="15"/>
              </w:rPr>
              <w:t>154,865,579,593.8</w:t>
            </w:r>
          </w:p>
        </w:tc>
      </w:tr>
      <w:tr w:rsidR="00662C8C" w:rsidRPr="005946C5" w14:paraId="32C303A8" w14:textId="77777777" w:rsidTr="001A6E3D">
        <w:trPr>
          <w:gridAfter w:val="1"/>
          <w:wAfter w:w="29" w:type="dxa"/>
          <w:trHeight w:val="283"/>
          <w:jc w:val="center"/>
        </w:trPr>
        <w:tc>
          <w:tcPr>
            <w:tcW w:w="1321" w:type="dxa"/>
            <w:tcBorders>
              <w:top w:val="nil"/>
              <w:left w:val="nil"/>
              <w:bottom w:val="single" w:sz="12" w:space="0" w:color="A6802D"/>
              <w:right w:val="nil"/>
            </w:tcBorders>
            <w:shd w:val="clear" w:color="000000" w:fill="F2F2F2"/>
            <w:vAlign w:val="center"/>
          </w:tcPr>
          <w:p w14:paraId="245BFF59" w14:textId="77777777" w:rsidR="00FA3840" w:rsidRPr="00662C8C" w:rsidRDefault="00FA3840" w:rsidP="00DD31D5">
            <w:pPr>
              <w:spacing w:after="0" w:line="240" w:lineRule="auto"/>
              <w:rPr>
                <w:rFonts w:ascii="Noto Sans" w:eastAsia="Times New Roman" w:hAnsi="Noto Sans" w:cs="Noto Sans"/>
                <w:b/>
                <w:bCs/>
                <w:color w:val="000000"/>
                <w:sz w:val="15"/>
                <w:szCs w:val="15"/>
                <w:highlight w:val="cyan"/>
                <w:lang w:eastAsia="es-MX"/>
              </w:rPr>
            </w:pPr>
            <w:r w:rsidRPr="00662C8C">
              <w:rPr>
                <w:rFonts w:ascii="Noto Sans" w:eastAsia="Times New Roman" w:hAnsi="Noto Sans" w:cs="Noto Sans"/>
                <w:b/>
                <w:bCs/>
                <w:color w:val="000000"/>
                <w:sz w:val="15"/>
                <w:szCs w:val="15"/>
                <w:lang w:eastAsia="es-MX"/>
              </w:rPr>
              <w:t>Total</w:t>
            </w:r>
          </w:p>
        </w:tc>
        <w:tc>
          <w:tcPr>
            <w:tcW w:w="1427" w:type="dxa"/>
            <w:tcBorders>
              <w:top w:val="nil"/>
              <w:left w:val="nil"/>
              <w:bottom w:val="single" w:sz="12" w:space="0" w:color="A6802D"/>
              <w:right w:val="nil"/>
            </w:tcBorders>
            <w:shd w:val="clear" w:color="000000" w:fill="F2F2F2"/>
            <w:vAlign w:val="center"/>
          </w:tcPr>
          <w:p w14:paraId="785FB7E5"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406,270,822,556.0</w:t>
            </w:r>
          </w:p>
        </w:tc>
        <w:tc>
          <w:tcPr>
            <w:tcW w:w="1417" w:type="dxa"/>
            <w:tcBorders>
              <w:top w:val="nil"/>
              <w:left w:val="nil"/>
              <w:bottom w:val="single" w:sz="12" w:space="0" w:color="A6802D"/>
              <w:right w:val="nil"/>
            </w:tcBorders>
            <w:shd w:val="clear" w:color="000000" w:fill="F2F2F2"/>
            <w:vAlign w:val="center"/>
          </w:tcPr>
          <w:p w14:paraId="0B1EBFBC"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45,903,713,228.4</w:t>
            </w:r>
          </w:p>
        </w:tc>
        <w:tc>
          <w:tcPr>
            <w:tcW w:w="910" w:type="dxa"/>
            <w:tcBorders>
              <w:top w:val="nil"/>
              <w:left w:val="nil"/>
              <w:bottom w:val="single" w:sz="12" w:space="0" w:color="A6802D"/>
              <w:right w:val="nil"/>
            </w:tcBorders>
            <w:shd w:val="clear" w:color="000000" w:fill="F2F2F2"/>
            <w:vAlign w:val="center"/>
          </w:tcPr>
          <w:p w14:paraId="35AE465F"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0.0</w:t>
            </w:r>
          </w:p>
        </w:tc>
        <w:tc>
          <w:tcPr>
            <w:tcW w:w="1417" w:type="dxa"/>
            <w:tcBorders>
              <w:top w:val="nil"/>
              <w:left w:val="nil"/>
              <w:bottom w:val="single" w:sz="12" w:space="0" w:color="A6802D"/>
              <w:right w:val="nil"/>
            </w:tcBorders>
            <w:shd w:val="clear" w:color="000000" w:fill="F2F2F2"/>
            <w:vAlign w:val="center"/>
          </w:tcPr>
          <w:p w14:paraId="79CE7164"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1,166,063,847.2</w:t>
            </w:r>
          </w:p>
        </w:tc>
        <w:tc>
          <w:tcPr>
            <w:tcW w:w="1417" w:type="dxa"/>
            <w:tcBorders>
              <w:top w:val="nil"/>
              <w:left w:val="nil"/>
              <w:bottom w:val="single" w:sz="12" w:space="0" w:color="A6802D"/>
              <w:right w:val="nil"/>
            </w:tcBorders>
            <w:shd w:val="clear" w:color="000000" w:fill="F2F2F2"/>
            <w:vAlign w:val="center"/>
          </w:tcPr>
          <w:p w14:paraId="7FE10315"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11,864,182,842.7</w:t>
            </w:r>
          </w:p>
        </w:tc>
        <w:tc>
          <w:tcPr>
            <w:tcW w:w="1417" w:type="dxa"/>
            <w:tcBorders>
              <w:top w:val="nil"/>
              <w:left w:val="nil"/>
              <w:bottom w:val="single" w:sz="12" w:space="0" w:color="A6802D"/>
              <w:right w:val="nil"/>
            </w:tcBorders>
            <w:shd w:val="clear" w:color="000000" w:fill="F2F2F2"/>
            <w:vAlign w:val="center"/>
          </w:tcPr>
          <w:p w14:paraId="76404346"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42,839,664,893.7</w:t>
            </w:r>
          </w:p>
        </w:tc>
        <w:tc>
          <w:tcPr>
            <w:tcW w:w="1417" w:type="dxa"/>
            <w:gridSpan w:val="2"/>
            <w:tcBorders>
              <w:top w:val="nil"/>
              <w:left w:val="nil"/>
              <w:bottom w:val="single" w:sz="12" w:space="0" w:color="A6802D"/>
              <w:right w:val="nil"/>
            </w:tcBorders>
            <w:shd w:val="clear" w:color="000000" w:fill="F2F2F2"/>
            <w:vAlign w:val="center"/>
          </w:tcPr>
          <w:p w14:paraId="1A61BE02" w14:textId="77777777" w:rsidR="00FA3840" w:rsidRPr="00662C8C" w:rsidRDefault="00FA3840" w:rsidP="00DD31D5">
            <w:pPr>
              <w:spacing w:after="0" w:line="240" w:lineRule="auto"/>
              <w:jc w:val="right"/>
              <w:rPr>
                <w:rFonts w:ascii="Noto Sans" w:eastAsia="Times New Roman" w:hAnsi="Noto Sans" w:cs="Noto Sans"/>
                <w:b/>
                <w:bCs/>
                <w:color w:val="000000"/>
                <w:sz w:val="15"/>
                <w:szCs w:val="15"/>
                <w:highlight w:val="cyan"/>
                <w:lang w:eastAsia="es-MX"/>
              </w:rPr>
            </w:pPr>
            <w:r w:rsidRPr="00662C8C">
              <w:rPr>
                <w:rFonts w:ascii="Noto Sans" w:hAnsi="Noto Sans" w:cs="Noto Sans"/>
                <w:b/>
                <w:bCs/>
                <w:color w:val="000000"/>
                <w:sz w:val="15"/>
                <w:szCs w:val="15"/>
              </w:rPr>
              <w:t>508,044,447,368.0</w:t>
            </w:r>
          </w:p>
        </w:tc>
      </w:tr>
      <w:tr w:rsidR="00662C8C" w:rsidRPr="00274555" w14:paraId="2BFABF6C" w14:textId="77777777" w:rsidTr="00861B08">
        <w:trPr>
          <w:trHeight w:val="226"/>
          <w:jc w:val="center"/>
        </w:trPr>
        <w:tc>
          <w:tcPr>
            <w:tcW w:w="10772" w:type="dxa"/>
            <w:gridSpan w:val="10"/>
            <w:tcBorders>
              <w:top w:val="single" w:sz="12" w:space="0" w:color="A6802D"/>
              <w:left w:val="nil"/>
            </w:tcBorders>
          </w:tcPr>
          <w:p w14:paraId="7E700EF5" w14:textId="77777777" w:rsidR="00FA3840" w:rsidRPr="00274555" w:rsidRDefault="00FA3840"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4D8E53CC" w14:textId="77777777" w:rsidR="00001AF5" w:rsidRDefault="002652E2" w:rsidP="002652E2">
      <w:pPr>
        <w:pStyle w:val="TEXTONORMAL"/>
        <w:tabs>
          <w:tab w:val="left" w:pos="2323"/>
        </w:tabs>
        <w:rPr>
          <w:rFonts w:cs="Noto Sans"/>
          <w:szCs w:val="18"/>
        </w:rPr>
      </w:pPr>
      <w:r>
        <w:rPr>
          <w:rFonts w:cs="Noto Sans"/>
          <w:szCs w:val="18"/>
        </w:rPr>
        <w:tab/>
      </w:r>
    </w:p>
    <w:p w14:paraId="68319079" w14:textId="77777777" w:rsidR="005B633B" w:rsidRDefault="005B633B" w:rsidP="002652E2">
      <w:pPr>
        <w:pStyle w:val="TEXTONORMAL"/>
        <w:tabs>
          <w:tab w:val="left" w:pos="2323"/>
        </w:tabs>
        <w:rPr>
          <w:rFonts w:cs="Noto Sans"/>
          <w:szCs w:val="18"/>
        </w:rPr>
      </w:pPr>
    </w:p>
    <w:p w14:paraId="50806A37" w14:textId="77777777" w:rsidR="005B633B" w:rsidRDefault="005B633B" w:rsidP="002652E2">
      <w:pPr>
        <w:pStyle w:val="TEXTONORMAL"/>
        <w:tabs>
          <w:tab w:val="left" w:pos="2323"/>
        </w:tabs>
        <w:rPr>
          <w:rFonts w:cs="Noto Sans"/>
          <w:szCs w:val="18"/>
        </w:rPr>
      </w:pPr>
    </w:p>
    <w:p w14:paraId="2C37F779" w14:textId="77777777" w:rsidR="000106CC" w:rsidRDefault="000106CC" w:rsidP="002652E2">
      <w:pPr>
        <w:pStyle w:val="TEXTONORMAL"/>
        <w:tabs>
          <w:tab w:val="left" w:pos="2323"/>
        </w:tabs>
        <w:rPr>
          <w:rFonts w:cs="Noto Sans"/>
          <w:szCs w:val="18"/>
        </w:rPr>
      </w:pPr>
    </w:p>
    <w:p w14:paraId="7A707C63" w14:textId="77777777" w:rsidR="00E71ECB" w:rsidRDefault="00E71ECB" w:rsidP="002652E2">
      <w:pPr>
        <w:pStyle w:val="TEXTONORMAL"/>
        <w:tabs>
          <w:tab w:val="left" w:pos="2323"/>
        </w:tabs>
        <w:rPr>
          <w:rFonts w:cs="Noto Sans"/>
          <w:szCs w:val="18"/>
        </w:rPr>
      </w:pPr>
    </w:p>
    <w:p w14:paraId="069A1F2A" w14:textId="76A3D5B3" w:rsidR="005B633B" w:rsidRDefault="004C72F3" w:rsidP="005B633B">
      <w:pPr>
        <w:pStyle w:val="TEXTONORMAL"/>
      </w:pPr>
      <w:r>
        <w:rPr>
          <w:rFonts w:cs="Noto Sans"/>
          <w:szCs w:val="18"/>
        </w:rPr>
        <w:lastRenderedPageBreak/>
        <w:t>A</w:t>
      </w:r>
      <w:r w:rsidRPr="000F4D76">
        <w:rPr>
          <w:rFonts w:cs="Noto Sans"/>
          <w:szCs w:val="18"/>
        </w:rPr>
        <w:t xml:space="preserve">l </w:t>
      </w:r>
      <w:r w:rsidR="00CF3824" w:rsidRPr="002B3F78">
        <w:rPr>
          <w:rFonts w:cs="Noto Sans"/>
          <w:szCs w:val="18"/>
        </w:rPr>
        <w:t>3</w:t>
      </w:r>
      <w:r w:rsidR="00CF3824">
        <w:rPr>
          <w:rFonts w:cs="Noto Sans"/>
          <w:szCs w:val="18"/>
        </w:rPr>
        <w:t>0</w:t>
      </w:r>
      <w:r w:rsidR="00CF3824" w:rsidRPr="002B3F78">
        <w:rPr>
          <w:rFonts w:cs="Noto Sans"/>
          <w:szCs w:val="18"/>
        </w:rPr>
        <w:t xml:space="preserve"> de </w:t>
      </w:r>
      <w:r w:rsidR="00CF3824">
        <w:rPr>
          <w:rFonts w:cs="Noto Sans"/>
          <w:szCs w:val="18"/>
        </w:rPr>
        <w:t>junio</w:t>
      </w:r>
      <w:r w:rsidR="00CF3824" w:rsidRPr="002B3F78">
        <w:rPr>
          <w:rFonts w:cs="Noto Sans"/>
          <w:szCs w:val="18"/>
        </w:rPr>
        <w:t xml:space="preserve"> </w:t>
      </w:r>
      <w:r w:rsidRPr="000F4D76">
        <w:rPr>
          <w:rFonts w:cs="Noto Sans"/>
          <w:szCs w:val="18"/>
        </w:rPr>
        <w:t>de 2025 y 31 de diciembre de 2024</w:t>
      </w:r>
      <w:r w:rsidR="005B633B" w:rsidRPr="00B06CFA">
        <w:t xml:space="preserve">, </w:t>
      </w:r>
      <w:r w:rsidR="005B633B" w:rsidRPr="00005E73">
        <w:t xml:space="preserve">los Recursos administrados a cuenta de Terceros </w:t>
      </w:r>
      <w:r w:rsidR="005B633B" w:rsidRPr="00B06CFA">
        <w:t>tuvieron los siguientes movimientos:</w:t>
      </w:r>
    </w:p>
    <w:p w14:paraId="49C7A511" w14:textId="77777777" w:rsidR="003019E2" w:rsidRDefault="003019E2" w:rsidP="005B633B">
      <w:pPr>
        <w:pStyle w:val="TEXTONORMAL"/>
      </w:pPr>
    </w:p>
    <w:tbl>
      <w:tblPr>
        <w:tblW w:w="0" w:type="auto"/>
        <w:jc w:val="center"/>
        <w:tblCellMar>
          <w:left w:w="70" w:type="dxa"/>
          <w:right w:w="70" w:type="dxa"/>
        </w:tblCellMar>
        <w:tblLook w:val="0480" w:firstRow="0" w:lastRow="0" w:firstColumn="1" w:lastColumn="0" w:noHBand="0" w:noVBand="1"/>
      </w:tblPr>
      <w:tblGrid>
        <w:gridCol w:w="1814"/>
        <w:gridCol w:w="1417"/>
        <w:gridCol w:w="1417"/>
        <w:gridCol w:w="1417"/>
        <w:gridCol w:w="1417"/>
        <w:gridCol w:w="1417"/>
        <w:gridCol w:w="1102"/>
        <w:gridCol w:w="317"/>
      </w:tblGrid>
      <w:tr w:rsidR="003019E2" w:rsidRPr="005946C5" w14:paraId="00CD9935" w14:textId="77777777" w:rsidTr="00FD2CDA">
        <w:trPr>
          <w:trHeight w:val="83"/>
          <w:jc w:val="center"/>
        </w:trPr>
        <w:tc>
          <w:tcPr>
            <w:tcW w:w="1814"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60D699E"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8504" w:type="dxa"/>
            <w:gridSpan w:val="7"/>
            <w:tcBorders>
              <w:top w:val="double" w:sz="12" w:space="0" w:color="A6802D"/>
              <w:left w:val="nil"/>
              <w:bottom w:val="single" w:sz="12" w:space="0" w:color="FFFFFF" w:themeColor="background1"/>
            </w:tcBorders>
            <w:shd w:val="clear" w:color="auto" w:fill="A6802D"/>
          </w:tcPr>
          <w:p w14:paraId="6B99A7F7"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2025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3019E2" w:rsidRPr="005946C5" w14:paraId="3407C8F9" w14:textId="77777777" w:rsidTr="00FD2CDA">
        <w:trPr>
          <w:trHeight w:val="28"/>
          <w:jc w:val="center"/>
        </w:trPr>
        <w:tc>
          <w:tcPr>
            <w:tcW w:w="1814" w:type="dxa"/>
            <w:vMerge/>
            <w:tcBorders>
              <w:top w:val="single" w:sz="12" w:space="0" w:color="808080"/>
              <w:left w:val="nil"/>
              <w:bottom w:val="triple" w:sz="12" w:space="0" w:color="A6802D"/>
              <w:right w:val="single" w:sz="12" w:space="0" w:color="FFFFFF"/>
            </w:tcBorders>
            <w:shd w:val="clear" w:color="auto" w:fill="A6802D"/>
            <w:vAlign w:val="center"/>
            <w:hideMark/>
          </w:tcPr>
          <w:p w14:paraId="6A7B3E13"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417"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1509451C"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1FACF8D3"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49D26C3A" w14:textId="77777777" w:rsidR="003019E2"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Plusvalía/ Minusvalía Validación a Mercado </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88EC20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Transferencias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07B6D2BA" w14:textId="77777777" w:rsidR="003019E2" w:rsidRPr="00B53D71" w:rsidRDefault="003019E2" w:rsidP="00FD2CDA">
            <w:pPr>
              <w:spacing w:after="0" w:line="240" w:lineRule="exact"/>
              <w:jc w:val="center"/>
              <w:rPr>
                <w:rFonts w:ascii="Montserrat" w:eastAsia="Times New Roman" w:hAnsi="Montserrat"/>
                <w:b/>
                <w:bCs/>
                <w:color w:val="FFFFFF"/>
                <w:sz w:val="16"/>
                <w:szCs w:val="16"/>
                <w:lang w:eastAsia="es-MX"/>
              </w:rPr>
            </w:pPr>
            <w:r w:rsidRPr="0060400B">
              <w:rPr>
                <w:rFonts w:ascii="Montserrat" w:eastAsia="Times New Roman" w:hAnsi="Montserrat"/>
                <w:b/>
                <w:bCs/>
                <w:color w:val="FFFFFF"/>
                <w:sz w:val="16"/>
                <w:szCs w:val="16"/>
                <w:lang w:eastAsia="es-MX"/>
              </w:rPr>
              <w:t>Traspaso de efectivo y valores a valor de mercado</w:t>
            </w:r>
          </w:p>
        </w:tc>
        <w:tc>
          <w:tcPr>
            <w:tcW w:w="1419" w:type="dxa"/>
            <w:gridSpan w:val="2"/>
            <w:tcBorders>
              <w:top w:val="single" w:sz="12" w:space="0" w:color="FFFFFF" w:themeColor="background1"/>
              <w:left w:val="nil"/>
              <w:bottom w:val="triple" w:sz="12" w:space="0" w:color="A6802D"/>
            </w:tcBorders>
            <w:shd w:val="clear" w:color="auto" w:fill="A6802D"/>
            <w:vAlign w:val="center"/>
          </w:tcPr>
          <w:p w14:paraId="0BBEDBE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EA4A70" w:rsidRPr="005946C5" w14:paraId="6774C212" w14:textId="77777777" w:rsidTr="00335962">
        <w:trPr>
          <w:trHeight w:val="680"/>
          <w:jc w:val="center"/>
        </w:trPr>
        <w:tc>
          <w:tcPr>
            <w:tcW w:w="1814" w:type="dxa"/>
            <w:tcBorders>
              <w:top w:val="triple" w:sz="12" w:space="0" w:color="A6802D"/>
              <w:left w:val="nil"/>
              <w:bottom w:val="nil"/>
              <w:right w:val="nil"/>
            </w:tcBorders>
            <w:shd w:val="clear" w:color="000000" w:fill="F2F2F2"/>
            <w:vAlign w:val="center"/>
          </w:tcPr>
          <w:p w14:paraId="3D0439CB" w14:textId="038B90E0" w:rsidR="00EA4A70" w:rsidRPr="00B53D71" w:rsidRDefault="00EA4A70" w:rsidP="00EA4A7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Reserva para hacer frente a reclamaciones de SAR</w:t>
            </w:r>
          </w:p>
        </w:tc>
        <w:tc>
          <w:tcPr>
            <w:tcW w:w="1417" w:type="dxa"/>
            <w:tcBorders>
              <w:top w:val="triple" w:sz="12" w:space="0" w:color="A6802D"/>
              <w:left w:val="nil"/>
              <w:bottom w:val="nil"/>
              <w:right w:val="nil"/>
            </w:tcBorders>
            <w:shd w:val="clear" w:color="000000" w:fill="F2F2F2"/>
            <w:vAlign w:val="center"/>
          </w:tcPr>
          <w:p w14:paraId="6629FAF5" w14:textId="1C4181AC"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322,662,455.7</w:t>
            </w:r>
          </w:p>
        </w:tc>
        <w:tc>
          <w:tcPr>
            <w:tcW w:w="1417" w:type="dxa"/>
            <w:tcBorders>
              <w:top w:val="triple" w:sz="12" w:space="0" w:color="A6802D"/>
              <w:left w:val="nil"/>
              <w:bottom w:val="nil"/>
              <w:right w:val="nil"/>
            </w:tcBorders>
            <w:shd w:val="clear" w:color="000000" w:fill="F2F2F2"/>
            <w:vAlign w:val="center"/>
          </w:tcPr>
          <w:p w14:paraId="738D7D84" w14:textId="613B7041"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13,009,302.6</w:t>
            </w:r>
          </w:p>
        </w:tc>
        <w:tc>
          <w:tcPr>
            <w:tcW w:w="1417" w:type="dxa"/>
            <w:tcBorders>
              <w:top w:val="triple" w:sz="12" w:space="0" w:color="A6802D"/>
              <w:left w:val="nil"/>
              <w:bottom w:val="nil"/>
              <w:right w:val="nil"/>
            </w:tcBorders>
            <w:shd w:val="clear" w:color="000000" w:fill="F2F2F2"/>
            <w:vAlign w:val="center"/>
          </w:tcPr>
          <w:p w14:paraId="16151C1A" w14:textId="7A737A06"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42E3E1B2" w14:textId="71129517"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-106,924,977.8</w:t>
            </w:r>
          </w:p>
        </w:tc>
        <w:tc>
          <w:tcPr>
            <w:tcW w:w="1417" w:type="dxa"/>
            <w:tcBorders>
              <w:top w:val="triple" w:sz="12" w:space="0" w:color="A6802D"/>
              <w:left w:val="nil"/>
              <w:bottom w:val="nil"/>
              <w:right w:val="nil"/>
            </w:tcBorders>
            <w:shd w:val="clear" w:color="000000" w:fill="F2F2F2"/>
            <w:vAlign w:val="center"/>
          </w:tcPr>
          <w:p w14:paraId="3B5631BF" w14:textId="3003500D"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triple" w:sz="12" w:space="0" w:color="A6802D"/>
              <w:left w:val="nil"/>
              <w:bottom w:val="nil"/>
              <w:right w:val="nil"/>
            </w:tcBorders>
            <w:shd w:val="clear" w:color="000000" w:fill="F2F2F2"/>
            <w:vAlign w:val="center"/>
          </w:tcPr>
          <w:p w14:paraId="74BF3C2F" w14:textId="380C6F72"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228,746,780.5</w:t>
            </w:r>
          </w:p>
        </w:tc>
      </w:tr>
      <w:tr w:rsidR="00EA4A70" w:rsidRPr="00FC0913" w14:paraId="1CC7DED0" w14:textId="77777777" w:rsidTr="00335962">
        <w:trPr>
          <w:trHeight w:val="680"/>
          <w:jc w:val="center"/>
        </w:trPr>
        <w:tc>
          <w:tcPr>
            <w:tcW w:w="1814" w:type="dxa"/>
            <w:tcBorders>
              <w:top w:val="nil"/>
              <w:left w:val="nil"/>
              <w:bottom w:val="nil"/>
              <w:right w:val="nil"/>
            </w:tcBorders>
            <w:shd w:val="clear" w:color="000000" w:fill="F2F2F2"/>
            <w:vAlign w:val="center"/>
          </w:tcPr>
          <w:p w14:paraId="05461511" w14:textId="2F997CB8" w:rsidR="00EA4A70" w:rsidRPr="00B53D71" w:rsidRDefault="00EA4A70" w:rsidP="00EA4A7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Reserva Artículo 302 de la LSS</w:t>
            </w:r>
          </w:p>
        </w:tc>
        <w:tc>
          <w:tcPr>
            <w:tcW w:w="1417" w:type="dxa"/>
            <w:tcBorders>
              <w:top w:val="nil"/>
              <w:left w:val="nil"/>
              <w:bottom w:val="nil"/>
              <w:right w:val="nil"/>
            </w:tcBorders>
            <w:shd w:val="clear" w:color="000000" w:fill="F2F2F2"/>
            <w:vAlign w:val="center"/>
          </w:tcPr>
          <w:p w14:paraId="6CA2EF8F" w14:textId="2E525910"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1.5</w:t>
            </w:r>
          </w:p>
        </w:tc>
        <w:tc>
          <w:tcPr>
            <w:tcW w:w="1417" w:type="dxa"/>
            <w:tcBorders>
              <w:top w:val="nil"/>
              <w:left w:val="nil"/>
              <w:bottom w:val="nil"/>
              <w:right w:val="nil"/>
            </w:tcBorders>
            <w:shd w:val="clear" w:color="000000" w:fill="F2F2F2"/>
            <w:vAlign w:val="center"/>
          </w:tcPr>
          <w:p w14:paraId="41CD3E9B" w14:textId="1648DC9E"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-0.2</w:t>
            </w:r>
          </w:p>
        </w:tc>
        <w:tc>
          <w:tcPr>
            <w:tcW w:w="1417" w:type="dxa"/>
            <w:tcBorders>
              <w:top w:val="nil"/>
              <w:left w:val="nil"/>
              <w:bottom w:val="nil"/>
              <w:right w:val="nil"/>
            </w:tcBorders>
            <w:shd w:val="clear" w:color="000000" w:fill="F2F2F2"/>
            <w:vAlign w:val="center"/>
          </w:tcPr>
          <w:p w14:paraId="79E78B4F" w14:textId="452CF36B"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2D84F15" w14:textId="073039B5"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F5EBC5B" w14:textId="750A2247"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706CE631" w14:textId="66579298"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1.3</w:t>
            </w:r>
          </w:p>
        </w:tc>
      </w:tr>
      <w:tr w:rsidR="00EA4A70" w:rsidRPr="00FC0913" w14:paraId="5DAC2D46" w14:textId="77777777" w:rsidTr="00335962">
        <w:trPr>
          <w:trHeight w:val="680"/>
          <w:jc w:val="center"/>
        </w:trPr>
        <w:tc>
          <w:tcPr>
            <w:tcW w:w="1814" w:type="dxa"/>
            <w:tcBorders>
              <w:top w:val="nil"/>
              <w:left w:val="nil"/>
              <w:bottom w:val="nil"/>
              <w:right w:val="nil"/>
            </w:tcBorders>
            <w:shd w:val="clear" w:color="000000" w:fill="F2F2F2"/>
            <w:vAlign w:val="center"/>
          </w:tcPr>
          <w:p w14:paraId="3ABB9287" w14:textId="3C9B074A" w:rsidR="00EA4A70" w:rsidRPr="00B53D71" w:rsidRDefault="00EA4A70" w:rsidP="00EA4A70">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Fondo de Fomento a la Educación (FOFOE)</w:t>
            </w:r>
          </w:p>
        </w:tc>
        <w:tc>
          <w:tcPr>
            <w:tcW w:w="1417" w:type="dxa"/>
            <w:tcBorders>
              <w:top w:val="nil"/>
              <w:left w:val="nil"/>
              <w:bottom w:val="nil"/>
              <w:right w:val="nil"/>
            </w:tcBorders>
            <w:shd w:val="clear" w:color="000000" w:fill="F2F2F2"/>
            <w:vAlign w:val="center"/>
          </w:tcPr>
          <w:p w14:paraId="48F10B07" w14:textId="227363BF"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1,387,278,764.1</w:t>
            </w:r>
          </w:p>
        </w:tc>
        <w:tc>
          <w:tcPr>
            <w:tcW w:w="1417" w:type="dxa"/>
            <w:tcBorders>
              <w:top w:val="nil"/>
              <w:left w:val="nil"/>
              <w:bottom w:val="nil"/>
              <w:right w:val="nil"/>
            </w:tcBorders>
            <w:shd w:val="clear" w:color="000000" w:fill="F2F2F2"/>
            <w:vAlign w:val="center"/>
          </w:tcPr>
          <w:p w14:paraId="6240D80B" w14:textId="4C349450"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66,806,828.2</w:t>
            </w:r>
          </w:p>
        </w:tc>
        <w:tc>
          <w:tcPr>
            <w:tcW w:w="1417" w:type="dxa"/>
            <w:tcBorders>
              <w:top w:val="nil"/>
              <w:left w:val="nil"/>
              <w:bottom w:val="nil"/>
              <w:right w:val="nil"/>
            </w:tcBorders>
            <w:shd w:val="clear" w:color="000000" w:fill="F2F2F2"/>
            <w:vAlign w:val="center"/>
          </w:tcPr>
          <w:p w14:paraId="6CAD094A" w14:textId="38DAE91E"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454A6048" w14:textId="2A3DF52C"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54,624,627.4</w:t>
            </w:r>
          </w:p>
        </w:tc>
        <w:tc>
          <w:tcPr>
            <w:tcW w:w="1417" w:type="dxa"/>
            <w:tcBorders>
              <w:top w:val="nil"/>
              <w:left w:val="nil"/>
              <w:bottom w:val="nil"/>
              <w:right w:val="nil"/>
            </w:tcBorders>
            <w:shd w:val="clear" w:color="000000" w:fill="F2F2F2"/>
            <w:vAlign w:val="center"/>
          </w:tcPr>
          <w:p w14:paraId="515C827F" w14:textId="304C90F1"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650721E5" w14:textId="3499C046"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1,508,710,219.7</w:t>
            </w:r>
          </w:p>
        </w:tc>
      </w:tr>
      <w:tr w:rsidR="00EA4A70" w:rsidRPr="00FC0913" w14:paraId="16D84166" w14:textId="77777777" w:rsidTr="00335962">
        <w:trPr>
          <w:trHeight w:val="680"/>
          <w:jc w:val="center"/>
        </w:trPr>
        <w:tc>
          <w:tcPr>
            <w:tcW w:w="1814" w:type="dxa"/>
            <w:tcBorders>
              <w:top w:val="nil"/>
              <w:left w:val="nil"/>
              <w:bottom w:val="nil"/>
              <w:right w:val="nil"/>
            </w:tcBorders>
            <w:shd w:val="clear" w:color="000000" w:fill="F2F2F2"/>
            <w:vAlign w:val="center"/>
          </w:tcPr>
          <w:p w14:paraId="3151C387" w14:textId="7A7F432F" w:rsidR="00EA4A70" w:rsidRPr="00B53D71" w:rsidRDefault="00EA4A70" w:rsidP="00EA4A70">
            <w:pPr>
              <w:spacing w:after="0" w:line="240" w:lineRule="auto"/>
              <w:rPr>
                <w:rFonts w:ascii="Noto Sans" w:hAnsi="Noto Sans" w:cs="Noto Sans"/>
                <w:sz w:val="15"/>
                <w:szCs w:val="15"/>
              </w:rPr>
            </w:pPr>
            <w:r>
              <w:rPr>
                <w:rFonts w:ascii="Noto Sans" w:hAnsi="Noto Sans" w:cs="Noto Sans"/>
                <w:color w:val="000000"/>
                <w:sz w:val="15"/>
                <w:szCs w:val="15"/>
              </w:rPr>
              <w:t>Cláusulas 85-89 (C 85-89)</w:t>
            </w:r>
          </w:p>
        </w:tc>
        <w:tc>
          <w:tcPr>
            <w:tcW w:w="1417" w:type="dxa"/>
            <w:tcBorders>
              <w:top w:val="nil"/>
              <w:left w:val="nil"/>
              <w:bottom w:val="nil"/>
              <w:right w:val="nil"/>
            </w:tcBorders>
            <w:shd w:val="clear" w:color="000000" w:fill="F2F2F2"/>
            <w:vAlign w:val="center"/>
          </w:tcPr>
          <w:p w14:paraId="28C6D781" w14:textId="7F416C77"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996,392,130.0</w:t>
            </w:r>
          </w:p>
        </w:tc>
        <w:tc>
          <w:tcPr>
            <w:tcW w:w="1417" w:type="dxa"/>
            <w:tcBorders>
              <w:top w:val="nil"/>
              <w:left w:val="nil"/>
              <w:bottom w:val="nil"/>
              <w:right w:val="nil"/>
            </w:tcBorders>
            <w:shd w:val="clear" w:color="000000" w:fill="F2F2F2"/>
            <w:vAlign w:val="center"/>
          </w:tcPr>
          <w:p w14:paraId="6F4631F3" w14:textId="35EFBCCE"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46,228,659.5</w:t>
            </w:r>
          </w:p>
        </w:tc>
        <w:tc>
          <w:tcPr>
            <w:tcW w:w="1417" w:type="dxa"/>
            <w:tcBorders>
              <w:top w:val="nil"/>
              <w:left w:val="nil"/>
              <w:bottom w:val="nil"/>
              <w:right w:val="nil"/>
            </w:tcBorders>
            <w:shd w:val="clear" w:color="000000" w:fill="F2F2F2"/>
            <w:vAlign w:val="center"/>
          </w:tcPr>
          <w:p w14:paraId="72F7190E" w14:textId="511D42B2"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C892FF1" w14:textId="064CA88E"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-28,702,576.9</w:t>
            </w:r>
          </w:p>
        </w:tc>
        <w:tc>
          <w:tcPr>
            <w:tcW w:w="1417" w:type="dxa"/>
            <w:tcBorders>
              <w:top w:val="nil"/>
              <w:left w:val="nil"/>
              <w:bottom w:val="nil"/>
              <w:right w:val="nil"/>
            </w:tcBorders>
            <w:shd w:val="clear" w:color="000000" w:fill="F2F2F2"/>
            <w:vAlign w:val="center"/>
          </w:tcPr>
          <w:p w14:paraId="0600DBCA" w14:textId="1F6D6200"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69FC8070" w14:textId="749835EA"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1,013,918,212.6</w:t>
            </w:r>
          </w:p>
        </w:tc>
      </w:tr>
      <w:tr w:rsidR="00EA4A70" w:rsidRPr="00FC0913" w14:paraId="2EAC067C" w14:textId="77777777" w:rsidTr="00335962">
        <w:trPr>
          <w:trHeight w:val="680"/>
          <w:jc w:val="center"/>
        </w:trPr>
        <w:tc>
          <w:tcPr>
            <w:tcW w:w="1814" w:type="dxa"/>
            <w:tcBorders>
              <w:top w:val="nil"/>
              <w:left w:val="nil"/>
              <w:bottom w:val="nil"/>
              <w:right w:val="nil"/>
            </w:tcBorders>
            <w:shd w:val="clear" w:color="000000" w:fill="F2F2F2"/>
            <w:vAlign w:val="center"/>
          </w:tcPr>
          <w:p w14:paraId="0151B170" w14:textId="1DF006D6" w:rsidR="00EA4A70" w:rsidRPr="00B53D71" w:rsidRDefault="00EA4A70" w:rsidP="00EA4A7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Aportaciones Federales para el Pago de Pensiones (AFPP)</w:t>
            </w:r>
          </w:p>
        </w:tc>
        <w:tc>
          <w:tcPr>
            <w:tcW w:w="1417" w:type="dxa"/>
            <w:tcBorders>
              <w:top w:val="nil"/>
              <w:left w:val="nil"/>
              <w:bottom w:val="nil"/>
              <w:right w:val="nil"/>
            </w:tcBorders>
            <w:shd w:val="clear" w:color="000000" w:fill="F2F2F2"/>
            <w:vAlign w:val="center"/>
          </w:tcPr>
          <w:p w14:paraId="3610BED3" w14:textId="1C42FCA9"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90,542,005.3</w:t>
            </w:r>
          </w:p>
        </w:tc>
        <w:tc>
          <w:tcPr>
            <w:tcW w:w="1417" w:type="dxa"/>
            <w:tcBorders>
              <w:top w:val="nil"/>
              <w:left w:val="nil"/>
              <w:bottom w:val="nil"/>
              <w:right w:val="nil"/>
            </w:tcBorders>
            <w:shd w:val="clear" w:color="000000" w:fill="F2F2F2"/>
            <w:vAlign w:val="center"/>
          </w:tcPr>
          <w:p w14:paraId="3B7573C7" w14:textId="55F25CFB"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30,479,331.</w:t>
            </w:r>
            <w:r w:rsidR="006E6E09">
              <w:rPr>
                <w:rFonts w:ascii="Noto Sans" w:hAnsi="Noto Sans" w:cs="Noto Sans"/>
                <w:color w:val="000000"/>
                <w:sz w:val="15"/>
                <w:szCs w:val="15"/>
              </w:rPr>
              <w:t>3</w:t>
            </w:r>
          </w:p>
        </w:tc>
        <w:tc>
          <w:tcPr>
            <w:tcW w:w="1417" w:type="dxa"/>
            <w:tcBorders>
              <w:top w:val="nil"/>
              <w:left w:val="nil"/>
              <w:bottom w:val="nil"/>
              <w:right w:val="nil"/>
            </w:tcBorders>
            <w:shd w:val="clear" w:color="000000" w:fill="F2F2F2"/>
            <w:vAlign w:val="center"/>
          </w:tcPr>
          <w:p w14:paraId="23E77768" w14:textId="4965FA11"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1DC89A8" w14:textId="62C1DB6A"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-90,516,309.0</w:t>
            </w:r>
          </w:p>
        </w:tc>
        <w:tc>
          <w:tcPr>
            <w:tcW w:w="1417" w:type="dxa"/>
            <w:tcBorders>
              <w:top w:val="nil"/>
              <w:left w:val="nil"/>
              <w:bottom w:val="nil"/>
              <w:right w:val="nil"/>
            </w:tcBorders>
            <w:shd w:val="clear" w:color="000000" w:fill="F2F2F2"/>
            <w:vAlign w:val="center"/>
          </w:tcPr>
          <w:p w14:paraId="0499A057" w14:textId="5DC67046"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14A8E6D4" w14:textId="11CB095A"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30,505,027.6</w:t>
            </w:r>
          </w:p>
        </w:tc>
      </w:tr>
      <w:tr w:rsidR="00EA4A70" w:rsidRPr="00FC0913" w14:paraId="4B29EE3E" w14:textId="77777777" w:rsidTr="00335962">
        <w:trPr>
          <w:trHeight w:val="680"/>
          <w:jc w:val="center"/>
        </w:trPr>
        <w:tc>
          <w:tcPr>
            <w:tcW w:w="1814" w:type="dxa"/>
            <w:tcBorders>
              <w:top w:val="nil"/>
              <w:left w:val="nil"/>
              <w:bottom w:val="nil"/>
              <w:right w:val="nil"/>
            </w:tcBorders>
            <w:shd w:val="clear" w:color="000000" w:fill="F2F2F2"/>
            <w:vAlign w:val="center"/>
          </w:tcPr>
          <w:p w14:paraId="18818579" w14:textId="5A33854F" w:rsidR="00EA4A70" w:rsidRPr="00B53D71" w:rsidRDefault="00EA4A70" w:rsidP="00EA4A7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Recursos del Convenio entre IMSS-Bienestar con el Instituto de Salud para el Bienestar (INSABI)</w:t>
            </w:r>
          </w:p>
        </w:tc>
        <w:tc>
          <w:tcPr>
            <w:tcW w:w="1417" w:type="dxa"/>
            <w:tcBorders>
              <w:top w:val="nil"/>
              <w:left w:val="nil"/>
              <w:bottom w:val="nil"/>
              <w:right w:val="nil"/>
            </w:tcBorders>
            <w:shd w:val="clear" w:color="000000" w:fill="F2F2F2"/>
            <w:vAlign w:val="center"/>
          </w:tcPr>
          <w:p w14:paraId="3BEA3A8D" w14:textId="058E152C"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130,667,480.5</w:t>
            </w:r>
          </w:p>
        </w:tc>
        <w:tc>
          <w:tcPr>
            <w:tcW w:w="1417" w:type="dxa"/>
            <w:tcBorders>
              <w:top w:val="nil"/>
              <w:left w:val="nil"/>
              <w:bottom w:val="nil"/>
              <w:right w:val="nil"/>
            </w:tcBorders>
            <w:shd w:val="clear" w:color="000000" w:fill="F2F2F2"/>
            <w:vAlign w:val="center"/>
          </w:tcPr>
          <w:p w14:paraId="23D50F46" w14:textId="7E4FFD0E"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4,062,319.</w:t>
            </w:r>
            <w:r w:rsidR="006E6E09">
              <w:rPr>
                <w:rFonts w:ascii="Noto Sans" w:hAnsi="Noto Sans" w:cs="Noto Sans"/>
                <w:color w:val="000000"/>
                <w:sz w:val="15"/>
                <w:szCs w:val="15"/>
              </w:rPr>
              <w:t>5</w:t>
            </w:r>
          </w:p>
        </w:tc>
        <w:tc>
          <w:tcPr>
            <w:tcW w:w="1417" w:type="dxa"/>
            <w:tcBorders>
              <w:top w:val="nil"/>
              <w:left w:val="nil"/>
              <w:bottom w:val="nil"/>
              <w:right w:val="nil"/>
            </w:tcBorders>
            <w:shd w:val="clear" w:color="000000" w:fill="F2F2F2"/>
            <w:vAlign w:val="center"/>
          </w:tcPr>
          <w:p w14:paraId="3FB7BCB5" w14:textId="3D7D0394"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6CF4226" w14:textId="4A8976A3"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-50,000,976.0</w:t>
            </w:r>
          </w:p>
        </w:tc>
        <w:tc>
          <w:tcPr>
            <w:tcW w:w="1417" w:type="dxa"/>
            <w:tcBorders>
              <w:top w:val="nil"/>
              <w:left w:val="nil"/>
              <w:bottom w:val="nil"/>
              <w:right w:val="nil"/>
            </w:tcBorders>
            <w:shd w:val="clear" w:color="000000" w:fill="F2F2F2"/>
            <w:vAlign w:val="center"/>
          </w:tcPr>
          <w:p w14:paraId="58296FD7" w14:textId="1F2FA33E"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-84,728,824.0</w:t>
            </w:r>
          </w:p>
        </w:tc>
        <w:tc>
          <w:tcPr>
            <w:tcW w:w="1419" w:type="dxa"/>
            <w:gridSpan w:val="2"/>
            <w:tcBorders>
              <w:top w:val="nil"/>
              <w:left w:val="nil"/>
              <w:bottom w:val="nil"/>
              <w:right w:val="nil"/>
            </w:tcBorders>
            <w:shd w:val="clear" w:color="000000" w:fill="F2F2F2"/>
            <w:vAlign w:val="center"/>
          </w:tcPr>
          <w:p w14:paraId="48B4623F" w14:textId="6E412E13"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r>
      <w:tr w:rsidR="00EA4A70" w:rsidRPr="00FC0913" w14:paraId="2D208DBA" w14:textId="77777777" w:rsidTr="00335962">
        <w:trPr>
          <w:trHeight w:val="680"/>
          <w:jc w:val="center"/>
        </w:trPr>
        <w:tc>
          <w:tcPr>
            <w:tcW w:w="1814" w:type="dxa"/>
            <w:tcBorders>
              <w:top w:val="nil"/>
              <w:left w:val="nil"/>
              <w:bottom w:val="nil"/>
              <w:right w:val="nil"/>
            </w:tcBorders>
            <w:shd w:val="clear" w:color="000000" w:fill="F2F2F2"/>
            <w:vAlign w:val="center"/>
          </w:tcPr>
          <w:p w14:paraId="22A594D2" w14:textId="4064276A" w:rsidR="00EA4A70" w:rsidRPr="00B53D71" w:rsidRDefault="00EA4A70" w:rsidP="00EA4A70">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Recursos para ampliar la cobertura de IMSS-Bienestar (BIENESTAR)</w:t>
            </w:r>
          </w:p>
        </w:tc>
        <w:tc>
          <w:tcPr>
            <w:tcW w:w="1417" w:type="dxa"/>
            <w:tcBorders>
              <w:top w:val="nil"/>
              <w:left w:val="nil"/>
              <w:bottom w:val="nil"/>
              <w:right w:val="nil"/>
            </w:tcBorders>
            <w:shd w:val="clear" w:color="000000" w:fill="F2F2F2"/>
            <w:vAlign w:val="center"/>
          </w:tcPr>
          <w:p w14:paraId="454AFD07" w14:textId="5D48F535"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1.2</w:t>
            </w:r>
          </w:p>
        </w:tc>
        <w:tc>
          <w:tcPr>
            <w:tcW w:w="1417" w:type="dxa"/>
            <w:tcBorders>
              <w:top w:val="nil"/>
              <w:left w:val="nil"/>
              <w:bottom w:val="nil"/>
              <w:right w:val="nil"/>
            </w:tcBorders>
            <w:shd w:val="clear" w:color="000000" w:fill="F2F2F2"/>
            <w:vAlign w:val="center"/>
          </w:tcPr>
          <w:p w14:paraId="68D9CCFB" w14:textId="47030975"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699B86A" w14:textId="70286C86"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2447E51" w14:textId="0B1B682D"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8AED207" w14:textId="7E89C3FB" w:rsidR="00EA4A70" w:rsidRPr="00A44903" w:rsidRDefault="00EA4A70" w:rsidP="00EA4A70">
            <w:pPr>
              <w:spacing w:after="0" w:line="240" w:lineRule="auto"/>
              <w:jc w:val="right"/>
              <w:rPr>
                <w:rFonts w:ascii="Noto Sans" w:hAnsi="Noto Sans" w:cs="Noto Sans"/>
                <w:sz w:val="15"/>
                <w:szCs w:val="13"/>
                <w:lang w:val="es-ES"/>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55BC1FE6" w14:textId="47D9226C" w:rsidR="00EA4A70" w:rsidRPr="00A44903" w:rsidRDefault="00EA4A70" w:rsidP="00EA4A70">
            <w:pPr>
              <w:spacing w:after="0" w:line="240" w:lineRule="auto"/>
              <w:jc w:val="right"/>
              <w:rPr>
                <w:rFonts w:ascii="Noto Sans" w:eastAsia="Times New Roman" w:hAnsi="Noto Sans" w:cs="Noto Sans"/>
                <w:color w:val="000000"/>
                <w:sz w:val="15"/>
                <w:szCs w:val="13"/>
                <w:lang w:val="es-ES" w:eastAsia="es-MX"/>
              </w:rPr>
            </w:pPr>
            <w:r>
              <w:rPr>
                <w:rFonts w:ascii="Noto Sans" w:hAnsi="Noto Sans" w:cs="Noto Sans"/>
                <w:color w:val="000000"/>
                <w:sz w:val="15"/>
                <w:szCs w:val="15"/>
              </w:rPr>
              <w:t>1.2</w:t>
            </w:r>
          </w:p>
        </w:tc>
      </w:tr>
      <w:tr w:rsidR="00EA4A70" w:rsidRPr="00FC0913" w14:paraId="73B77699" w14:textId="77777777" w:rsidTr="00335962">
        <w:trPr>
          <w:trHeight w:val="680"/>
          <w:jc w:val="center"/>
        </w:trPr>
        <w:tc>
          <w:tcPr>
            <w:tcW w:w="1814" w:type="dxa"/>
            <w:tcBorders>
              <w:top w:val="nil"/>
              <w:left w:val="nil"/>
              <w:bottom w:val="nil"/>
              <w:right w:val="nil"/>
            </w:tcBorders>
            <w:shd w:val="clear" w:color="000000" w:fill="F2F2F2"/>
            <w:vAlign w:val="center"/>
          </w:tcPr>
          <w:p w14:paraId="3A6A5A7C" w14:textId="20E94E4A" w:rsidR="00EA4A70" w:rsidRDefault="00EA4A70" w:rsidP="00EA4A70">
            <w:pPr>
              <w:spacing w:after="0" w:line="240" w:lineRule="auto"/>
              <w:jc w:val="both"/>
              <w:rPr>
                <w:rFonts w:ascii="Noto Sans" w:hAnsi="Noto Sans" w:cs="Noto Sans"/>
                <w:color w:val="000000"/>
                <w:sz w:val="15"/>
                <w:szCs w:val="15"/>
              </w:rPr>
            </w:pPr>
            <w:r w:rsidRPr="007F6B44">
              <w:rPr>
                <w:rFonts w:ascii="Noto Sans" w:hAnsi="Noto Sans" w:cs="Noto Sans"/>
                <w:color w:val="000000"/>
                <w:sz w:val="15"/>
                <w:szCs w:val="15"/>
              </w:rPr>
              <w:t>Recursos Convenio Pasta de Conchos (PCONCHOS)</w:t>
            </w:r>
          </w:p>
        </w:tc>
        <w:tc>
          <w:tcPr>
            <w:tcW w:w="1417" w:type="dxa"/>
            <w:tcBorders>
              <w:top w:val="nil"/>
              <w:left w:val="nil"/>
              <w:bottom w:val="nil"/>
              <w:right w:val="nil"/>
            </w:tcBorders>
            <w:shd w:val="clear" w:color="000000" w:fill="F2F2F2"/>
            <w:vAlign w:val="center"/>
          </w:tcPr>
          <w:p w14:paraId="1D1E24DC" w14:textId="67CE8FD9" w:rsidR="00EA4A70" w:rsidRDefault="00EA4A70" w:rsidP="00EA4A70">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878CF49" w14:textId="6ACDEFF0" w:rsidR="00EA4A70" w:rsidRDefault="00EA4A70" w:rsidP="00EA4A70">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1,780.0</w:t>
            </w:r>
          </w:p>
        </w:tc>
        <w:tc>
          <w:tcPr>
            <w:tcW w:w="1417" w:type="dxa"/>
            <w:tcBorders>
              <w:top w:val="nil"/>
              <w:left w:val="nil"/>
              <w:bottom w:val="nil"/>
              <w:right w:val="nil"/>
            </w:tcBorders>
            <w:shd w:val="clear" w:color="000000" w:fill="F2F2F2"/>
            <w:vAlign w:val="center"/>
          </w:tcPr>
          <w:p w14:paraId="3DB4E24F" w14:textId="758F2021" w:rsidR="00EA4A70" w:rsidRDefault="00EA4A70" w:rsidP="00EA4A70">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F5AD2C7" w14:textId="61E158F5" w:rsidR="00EA4A70" w:rsidRDefault="00EA4A70" w:rsidP="00EA4A70">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3A551394" w14:textId="0D216957" w:rsidR="00EA4A70" w:rsidRDefault="00EA4A70" w:rsidP="00EA4A70">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0.0</w:t>
            </w:r>
          </w:p>
        </w:tc>
        <w:tc>
          <w:tcPr>
            <w:tcW w:w="1419" w:type="dxa"/>
            <w:gridSpan w:val="2"/>
            <w:tcBorders>
              <w:top w:val="nil"/>
              <w:left w:val="nil"/>
              <w:bottom w:val="nil"/>
              <w:right w:val="nil"/>
            </w:tcBorders>
            <w:shd w:val="clear" w:color="000000" w:fill="F2F2F2"/>
            <w:vAlign w:val="center"/>
          </w:tcPr>
          <w:p w14:paraId="6CDCF532" w14:textId="57DB54D8" w:rsidR="00EA4A70" w:rsidRDefault="00EA4A70" w:rsidP="00EA4A70">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1,780.0</w:t>
            </w:r>
          </w:p>
        </w:tc>
      </w:tr>
      <w:tr w:rsidR="00EA4A70" w:rsidRPr="005946C5" w14:paraId="14D4D5D5" w14:textId="77777777" w:rsidTr="00335962">
        <w:trPr>
          <w:trHeight w:val="680"/>
          <w:jc w:val="center"/>
        </w:trPr>
        <w:tc>
          <w:tcPr>
            <w:tcW w:w="1814" w:type="dxa"/>
            <w:tcBorders>
              <w:top w:val="nil"/>
              <w:left w:val="nil"/>
              <w:bottom w:val="single" w:sz="12" w:space="0" w:color="A6802D"/>
              <w:right w:val="nil"/>
            </w:tcBorders>
            <w:shd w:val="clear" w:color="000000" w:fill="F2F2F2"/>
            <w:vAlign w:val="center"/>
          </w:tcPr>
          <w:p w14:paraId="54E9E3DF" w14:textId="2F6FE5C2" w:rsidR="00EA4A70" w:rsidRPr="00B53D71" w:rsidRDefault="00EA4A70" w:rsidP="00EA4A70">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Recursos administrados a cuenta de Terceros</w:t>
            </w:r>
          </w:p>
        </w:tc>
        <w:tc>
          <w:tcPr>
            <w:tcW w:w="1417" w:type="dxa"/>
            <w:tcBorders>
              <w:top w:val="nil"/>
              <w:left w:val="nil"/>
              <w:bottom w:val="single" w:sz="12" w:space="0" w:color="A6802D"/>
              <w:right w:val="nil"/>
            </w:tcBorders>
            <w:shd w:val="clear" w:color="000000" w:fill="F2F2F2"/>
            <w:vAlign w:val="center"/>
          </w:tcPr>
          <w:p w14:paraId="2BD7D0E8" w14:textId="7EA22B21" w:rsidR="00EA4A70" w:rsidRPr="00A44903" w:rsidRDefault="00EA4A70" w:rsidP="00EA4A70">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2,927,542,838.3</w:t>
            </w:r>
          </w:p>
        </w:tc>
        <w:tc>
          <w:tcPr>
            <w:tcW w:w="1417" w:type="dxa"/>
            <w:tcBorders>
              <w:top w:val="nil"/>
              <w:left w:val="nil"/>
              <w:bottom w:val="single" w:sz="12" w:space="0" w:color="A6802D"/>
              <w:right w:val="nil"/>
            </w:tcBorders>
            <w:shd w:val="clear" w:color="000000" w:fill="F2F2F2"/>
            <w:vAlign w:val="center"/>
          </w:tcPr>
          <w:p w14:paraId="11762788" w14:textId="0B0063CA" w:rsidR="00EA4A70" w:rsidRPr="00A44903" w:rsidRDefault="00EA4A70" w:rsidP="00EA4A70">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160,588,220.</w:t>
            </w:r>
            <w:r w:rsidR="006E6E09">
              <w:rPr>
                <w:rFonts w:ascii="Noto Sans" w:hAnsi="Noto Sans" w:cs="Noto Sans"/>
                <w:b/>
                <w:bCs/>
                <w:color w:val="000000"/>
                <w:sz w:val="15"/>
                <w:szCs w:val="15"/>
              </w:rPr>
              <w:t>9</w:t>
            </w:r>
          </w:p>
        </w:tc>
        <w:tc>
          <w:tcPr>
            <w:tcW w:w="1417" w:type="dxa"/>
            <w:tcBorders>
              <w:top w:val="nil"/>
              <w:left w:val="nil"/>
              <w:bottom w:val="single" w:sz="12" w:space="0" w:color="A6802D"/>
              <w:right w:val="nil"/>
            </w:tcBorders>
            <w:shd w:val="clear" w:color="000000" w:fill="F2F2F2"/>
            <w:vAlign w:val="center"/>
          </w:tcPr>
          <w:p w14:paraId="7CD73850" w14:textId="23314819" w:rsidR="00EA4A70" w:rsidRPr="00A44903" w:rsidRDefault="00EA4A70" w:rsidP="00EA4A70">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0.0</w:t>
            </w:r>
          </w:p>
        </w:tc>
        <w:tc>
          <w:tcPr>
            <w:tcW w:w="1417" w:type="dxa"/>
            <w:tcBorders>
              <w:top w:val="nil"/>
              <w:left w:val="nil"/>
              <w:bottom w:val="single" w:sz="12" w:space="0" w:color="A6802D"/>
              <w:right w:val="nil"/>
            </w:tcBorders>
            <w:shd w:val="clear" w:color="000000" w:fill="F2F2F2"/>
            <w:vAlign w:val="center"/>
          </w:tcPr>
          <w:p w14:paraId="67983FD5" w14:textId="6209D168" w:rsidR="00EA4A70" w:rsidRPr="00A44903" w:rsidRDefault="00EA4A70" w:rsidP="00EA4A70">
            <w:pPr>
              <w:spacing w:after="0" w:line="240" w:lineRule="auto"/>
              <w:jc w:val="right"/>
              <w:rPr>
                <w:rFonts w:ascii="Noto Sans" w:eastAsia="Times New Roman" w:hAnsi="Noto Sans" w:cs="Noto Sans"/>
                <w:b/>
                <w:bCs/>
                <w:color w:val="000000"/>
                <w:sz w:val="15"/>
                <w:szCs w:val="13"/>
                <w:lang w:eastAsia="es-MX"/>
              </w:rPr>
            </w:pPr>
            <w:r>
              <w:rPr>
                <w:rFonts w:ascii="Noto Sans" w:hAnsi="Noto Sans" w:cs="Noto Sans"/>
                <w:b/>
                <w:bCs/>
                <w:color w:val="000000"/>
                <w:sz w:val="15"/>
                <w:szCs w:val="15"/>
              </w:rPr>
              <w:t>-221,520,212.3</w:t>
            </w:r>
          </w:p>
        </w:tc>
        <w:tc>
          <w:tcPr>
            <w:tcW w:w="1417" w:type="dxa"/>
            <w:tcBorders>
              <w:top w:val="nil"/>
              <w:left w:val="nil"/>
              <w:bottom w:val="single" w:sz="12" w:space="0" w:color="A6802D"/>
              <w:right w:val="nil"/>
            </w:tcBorders>
            <w:shd w:val="clear" w:color="000000" w:fill="F2F2F2"/>
            <w:vAlign w:val="center"/>
          </w:tcPr>
          <w:p w14:paraId="56D5C870" w14:textId="18E71265" w:rsidR="00EA4A70" w:rsidRPr="00A44903" w:rsidRDefault="00EA4A70" w:rsidP="00EA4A70">
            <w:pPr>
              <w:spacing w:after="0" w:line="240" w:lineRule="auto"/>
              <w:jc w:val="right"/>
              <w:rPr>
                <w:rFonts w:ascii="Noto Sans" w:hAnsi="Noto Sans" w:cs="Noto Sans"/>
                <w:b/>
                <w:bCs/>
                <w:sz w:val="15"/>
                <w:szCs w:val="13"/>
                <w:lang w:val="es-ES"/>
              </w:rPr>
            </w:pPr>
            <w:r>
              <w:rPr>
                <w:rFonts w:ascii="Noto Sans" w:hAnsi="Noto Sans" w:cs="Noto Sans"/>
                <w:b/>
                <w:bCs/>
                <w:color w:val="000000"/>
                <w:sz w:val="15"/>
                <w:szCs w:val="15"/>
              </w:rPr>
              <w:t>-84,728,824.0</w:t>
            </w:r>
          </w:p>
        </w:tc>
        <w:tc>
          <w:tcPr>
            <w:tcW w:w="1419" w:type="dxa"/>
            <w:gridSpan w:val="2"/>
            <w:tcBorders>
              <w:top w:val="nil"/>
              <w:left w:val="nil"/>
              <w:bottom w:val="single" w:sz="12" w:space="0" w:color="A6802D"/>
              <w:right w:val="nil"/>
            </w:tcBorders>
            <w:shd w:val="clear" w:color="000000" w:fill="F2F2F2"/>
            <w:vAlign w:val="center"/>
          </w:tcPr>
          <w:p w14:paraId="62774667" w14:textId="450934A1" w:rsidR="00EA4A70" w:rsidRPr="00A44903" w:rsidRDefault="00EA4A70" w:rsidP="00EA4A70">
            <w:pPr>
              <w:spacing w:after="0" w:line="240" w:lineRule="auto"/>
              <w:jc w:val="right"/>
              <w:rPr>
                <w:rFonts w:ascii="Noto Sans" w:eastAsia="Times New Roman" w:hAnsi="Noto Sans" w:cs="Noto Sans"/>
                <w:b/>
                <w:bCs/>
                <w:color w:val="000000"/>
                <w:sz w:val="15"/>
                <w:szCs w:val="13"/>
                <w:lang w:val="es-ES" w:eastAsia="es-MX"/>
              </w:rPr>
            </w:pPr>
            <w:r>
              <w:rPr>
                <w:rFonts w:ascii="Noto Sans" w:hAnsi="Noto Sans" w:cs="Noto Sans"/>
                <w:b/>
                <w:bCs/>
                <w:color w:val="000000"/>
                <w:sz w:val="15"/>
                <w:szCs w:val="15"/>
              </w:rPr>
              <w:t>2,781,882,022.9</w:t>
            </w:r>
          </w:p>
        </w:tc>
      </w:tr>
      <w:tr w:rsidR="00D8459F" w:rsidRPr="00274555" w14:paraId="009AED17" w14:textId="77777777" w:rsidTr="00FD2CDA">
        <w:trPr>
          <w:gridAfter w:val="1"/>
          <w:wAfter w:w="317" w:type="dxa"/>
          <w:trHeight w:val="226"/>
          <w:jc w:val="center"/>
        </w:trPr>
        <w:tc>
          <w:tcPr>
            <w:tcW w:w="10001" w:type="dxa"/>
            <w:gridSpan w:val="7"/>
            <w:tcBorders>
              <w:top w:val="single" w:sz="12" w:space="0" w:color="A6802D"/>
              <w:left w:val="nil"/>
            </w:tcBorders>
          </w:tcPr>
          <w:p w14:paraId="441BFBE2" w14:textId="77777777" w:rsidR="00D8459F" w:rsidRPr="00274555" w:rsidRDefault="00D8459F" w:rsidP="00D8459F">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0B1454FF" w14:textId="77777777" w:rsidR="003019E2" w:rsidRDefault="003019E2" w:rsidP="005B633B">
      <w:pPr>
        <w:pStyle w:val="TEXTONORMAL"/>
      </w:pPr>
    </w:p>
    <w:p w14:paraId="10B4C267" w14:textId="77777777" w:rsidR="003019E2" w:rsidRDefault="003019E2" w:rsidP="005B633B">
      <w:pPr>
        <w:pStyle w:val="TEXTONORMAL"/>
      </w:pPr>
    </w:p>
    <w:tbl>
      <w:tblPr>
        <w:tblW w:w="0" w:type="auto"/>
        <w:jc w:val="center"/>
        <w:tblCellMar>
          <w:left w:w="70" w:type="dxa"/>
          <w:right w:w="70" w:type="dxa"/>
        </w:tblCellMar>
        <w:tblLook w:val="0480" w:firstRow="0" w:lastRow="0" w:firstColumn="1" w:lastColumn="0" w:noHBand="0" w:noVBand="1"/>
      </w:tblPr>
      <w:tblGrid>
        <w:gridCol w:w="1814"/>
        <w:gridCol w:w="1417"/>
        <w:gridCol w:w="1417"/>
        <w:gridCol w:w="1417"/>
        <w:gridCol w:w="1417"/>
        <w:gridCol w:w="1417"/>
        <w:gridCol w:w="1102"/>
        <w:gridCol w:w="317"/>
      </w:tblGrid>
      <w:tr w:rsidR="00B53D71" w:rsidRPr="005946C5" w14:paraId="522D9D02" w14:textId="77777777" w:rsidTr="00B53D71">
        <w:trPr>
          <w:trHeight w:val="83"/>
          <w:jc w:val="center"/>
        </w:trPr>
        <w:tc>
          <w:tcPr>
            <w:tcW w:w="1814"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D074B31"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Concepto</w:t>
            </w:r>
          </w:p>
        </w:tc>
        <w:tc>
          <w:tcPr>
            <w:tcW w:w="8504" w:type="dxa"/>
            <w:gridSpan w:val="7"/>
            <w:tcBorders>
              <w:top w:val="double" w:sz="12" w:space="0" w:color="A6802D"/>
              <w:left w:val="nil"/>
              <w:bottom w:val="single" w:sz="12" w:space="0" w:color="FFFFFF" w:themeColor="background1"/>
            </w:tcBorders>
            <w:shd w:val="clear" w:color="auto" w:fill="A6802D"/>
          </w:tcPr>
          <w:p w14:paraId="7BDC6C24"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2024 </w:t>
            </w:r>
            <w:proofErr w:type="gramStart"/>
            <w:r w:rsidRPr="008E629A">
              <w:rPr>
                <w:rFonts w:ascii="Noto Sans" w:eastAsia="Times New Roman" w:hAnsi="Noto Sans" w:cs="Noto Sans"/>
                <w:b/>
                <w:bCs/>
                <w:color w:val="FFFFFF"/>
                <w:sz w:val="16"/>
                <w:szCs w:val="16"/>
                <w:lang w:eastAsia="es-MX"/>
              </w:rPr>
              <w:t>Cifras</w:t>
            </w:r>
            <w:proofErr w:type="gramEnd"/>
            <w:r w:rsidRPr="008E629A">
              <w:rPr>
                <w:rFonts w:ascii="Noto Sans" w:eastAsia="Times New Roman" w:hAnsi="Noto Sans" w:cs="Noto Sans"/>
                <w:b/>
                <w:bCs/>
                <w:color w:val="FFFFFF"/>
                <w:sz w:val="16"/>
                <w:szCs w:val="16"/>
                <w:lang w:eastAsia="es-MX"/>
              </w:rPr>
              <w:t xml:space="preserve"> en pesos</w:t>
            </w:r>
          </w:p>
        </w:tc>
      </w:tr>
      <w:tr w:rsidR="005B633B" w:rsidRPr="005946C5" w14:paraId="104A2214" w14:textId="77777777" w:rsidTr="00B53D71">
        <w:trPr>
          <w:trHeight w:val="28"/>
          <w:jc w:val="center"/>
        </w:trPr>
        <w:tc>
          <w:tcPr>
            <w:tcW w:w="1814" w:type="dxa"/>
            <w:vMerge/>
            <w:tcBorders>
              <w:top w:val="single" w:sz="12" w:space="0" w:color="808080"/>
              <w:left w:val="nil"/>
              <w:bottom w:val="triple" w:sz="12" w:space="0" w:color="A6802D"/>
              <w:right w:val="single" w:sz="12" w:space="0" w:color="FFFFFF"/>
            </w:tcBorders>
            <w:shd w:val="clear" w:color="auto" w:fill="A6802D"/>
            <w:vAlign w:val="center"/>
            <w:hideMark/>
          </w:tcPr>
          <w:p w14:paraId="3AED405A"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p>
        </w:tc>
        <w:tc>
          <w:tcPr>
            <w:tcW w:w="1417" w:type="dxa"/>
            <w:tcBorders>
              <w:top w:val="single" w:sz="12" w:space="0" w:color="FFFFFF" w:themeColor="background1"/>
              <w:left w:val="nil"/>
              <w:bottom w:val="triple" w:sz="12" w:space="0" w:color="A6802D"/>
              <w:right w:val="single" w:sz="12" w:space="0" w:color="FFFFFF" w:themeColor="background1"/>
            </w:tcBorders>
            <w:shd w:val="clear" w:color="auto" w:fill="A6802D"/>
            <w:vAlign w:val="center"/>
          </w:tcPr>
          <w:p w14:paraId="3ACA8261" w14:textId="6B58185A" w:rsidR="005B633B" w:rsidRDefault="00394CE4"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inicial</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05F89A3C" w14:textId="77777777" w:rsidR="005B633B"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Productos y Gastos financieros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2D419EDA" w14:textId="77777777" w:rsidR="005B633B" w:rsidRDefault="005B633B" w:rsidP="005B633B">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Plusvalía/ Minusvalía Validación a Mercado </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hemeColor="background1"/>
            </w:tcBorders>
            <w:shd w:val="clear" w:color="auto" w:fill="A6802D"/>
            <w:vAlign w:val="center"/>
          </w:tcPr>
          <w:p w14:paraId="4977EDBB"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Transferencias</w:t>
            </w:r>
          </w:p>
        </w:tc>
        <w:tc>
          <w:tcPr>
            <w:tcW w:w="1417" w:type="dxa"/>
            <w:tcBorders>
              <w:top w:val="single" w:sz="12" w:space="0" w:color="FFFFFF" w:themeColor="background1"/>
              <w:left w:val="single" w:sz="12" w:space="0" w:color="FFFFFF" w:themeColor="background1"/>
              <w:bottom w:val="triple" w:sz="12" w:space="0" w:color="A6802D"/>
              <w:right w:val="single" w:sz="12" w:space="0" w:color="FFFFFF"/>
            </w:tcBorders>
            <w:shd w:val="clear" w:color="auto" w:fill="A6802D"/>
            <w:vAlign w:val="center"/>
          </w:tcPr>
          <w:p w14:paraId="18E8054A" w14:textId="77777777" w:rsidR="00B53D71" w:rsidRPr="00B53D71" w:rsidRDefault="00B53D71" w:rsidP="00B53D71">
            <w:pPr>
              <w:spacing w:after="0" w:line="240" w:lineRule="exact"/>
              <w:jc w:val="center"/>
              <w:rPr>
                <w:rFonts w:ascii="Montserrat" w:eastAsia="Times New Roman" w:hAnsi="Montserrat"/>
                <w:b/>
                <w:bCs/>
                <w:color w:val="FFFFFF"/>
                <w:sz w:val="16"/>
                <w:szCs w:val="16"/>
                <w:lang w:eastAsia="es-MX"/>
              </w:rPr>
            </w:pPr>
            <w:r w:rsidRPr="0060400B">
              <w:rPr>
                <w:rFonts w:ascii="Montserrat" w:eastAsia="Times New Roman" w:hAnsi="Montserrat"/>
                <w:b/>
                <w:bCs/>
                <w:color w:val="FFFFFF"/>
                <w:sz w:val="16"/>
                <w:szCs w:val="16"/>
                <w:lang w:eastAsia="es-MX"/>
              </w:rPr>
              <w:t>Traspaso de efectivo y valores a valor de mercado</w:t>
            </w:r>
          </w:p>
        </w:tc>
        <w:tc>
          <w:tcPr>
            <w:tcW w:w="1418" w:type="dxa"/>
            <w:gridSpan w:val="2"/>
            <w:tcBorders>
              <w:top w:val="single" w:sz="12" w:space="0" w:color="FFFFFF" w:themeColor="background1"/>
              <w:left w:val="nil"/>
              <w:bottom w:val="triple" w:sz="12" w:space="0" w:color="A6802D"/>
            </w:tcBorders>
            <w:shd w:val="clear" w:color="auto" w:fill="A6802D"/>
            <w:vAlign w:val="center"/>
          </w:tcPr>
          <w:p w14:paraId="181FA002" w14:textId="77777777" w:rsidR="005B633B" w:rsidRPr="008E629A" w:rsidRDefault="005B633B"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Saldo Final</w:t>
            </w:r>
          </w:p>
        </w:tc>
      </w:tr>
      <w:tr w:rsidR="00B53D71" w:rsidRPr="005946C5" w14:paraId="4321E5F4" w14:textId="77777777" w:rsidTr="00A44903">
        <w:trPr>
          <w:trHeight w:val="680"/>
          <w:jc w:val="center"/>
        </w:trPr>
        <w:tc>
          <w:tcPr>
            <w:tcW w:w="1814" w:type="dxa"/>
            <w:tcBorders>
              <w:top w:val="triple" w:sz="12" w:space="0" w:color="A6802D"/>
              <w:left w:val="nil"/>
              <w:bottom w:val="nil"/>
              <w:right w:val="nil"/>
            </w:tcBorders>
            <w:shd w:val="clear" w:color="000000" w:fill="F2F2F2"/>
          </w:tcPr>
          <w:p w14:paraId="070A1955" w14:textId="77777777" w:rsidR="00B53D71" w:rsidRPr="00B53D71" w:rsidRDefault="00B53D71" w:rsidP="00DD31D5">
            <w:pPr>
              <w:spacing w:after="0" w:line="240" w:lineRule="auto"/>
              <w:jc w:val="both"/>
              <w:rPr>
                <w:rFonts w:ascii="Noto Sans" w:hAnsi="Noto Sans" w:cs="Noto Sans"/>
                <w:sz w:val="15"/>
                <w:szCs w:val="15"/>
              </w:rPr>
            </w:pPr>
          </w:p>
          <w:p w14:paraId="297A90F8"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Reserva para hacer frente a reclamaciones de SAR</w:t>
            </w:r>
          </w:p>
        </w:tc>
        <w:tc>
          <w:tcPr>
            <w:tcW w:w="1417" w:type="dxa"/>
            <w:tcBorders>
              <w:top w:val="triple" w:sz="12" w:space="0" w:color="A6802D"/>
              <w:left w:val="nil"/>
              <w:bottom w:val="nil"/>
              <w:right w:val="nil"/>
            </w:tcBorders>
            <w:shd w:val="clear" w:color="000000" w:fill="F2F2F2"/>
            <w:vAlign w:val="center"/>
          </w:tcPr>
          <w:p w14:paraId="5E1851A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310,315,476.4</w:t>
            </w:r>
          </w:p>
        </w:tc>
        <w:tc>
          <w:tcPr>
            <w:tcW w:w="1417" w:type="dxa"/>
            <w:tcBorders>
              <w:top w:val="triple" w:sz="12" w:space="0" w:color="A6802D"/>
              <w:left w:val="nil"/>
              <w:bottom w:val="nil"/>
              <w:right w:val="nil"/>
            </w:tcBorders>
            <w:shd w:val="clear" w:color="000000" w:fill="F2F2F2"/>
            <w:vAlign w:val="center"/>
          </w:tcPr>
          <w:p w14:paraId="66028D6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30,181,704.1</w:t>
            </w:r>
          </w:p>
        </w:tc>
        <w:tc>
          <w:tcPr>
            <w:tcW w:w="1417" w:type="dxa"/>
            <w:tcBorders>
              <w:top w:val="triple" w:sz="12" w:space="0" w:color="A6802D"/>
              <w:left w:val="nil"/>
              <w:bottom w:val="nil"/>
              <w:right w:val="nil"/>
            </w:tcBorders>
            <w:shd w:val="clear" w:color="000000" w:fill="F2F2F2"/>
            <w:vAlign w:val="center"/>
          </w:tcPr>
          <w:p w14:paraId="0AF67DC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7" w:type="dxa"/>
            <w:tcBorders>
              <w:top w:val="triple" w:sz="12" w:space="0" w:color="A6802D"/>
              <w:left w:val="nil"/>
              <w:bottom w:val="nil"/>
              <w:right w:val="nil"/>
            </w:tcBorders>
            <w:shd w:val="clear" w:color="000000" w:fill="F2F2F2"/>
            <w:vAlign w:val="center"/>
          </w:tcPr>
          <w:p w14:paraId="2D45313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-17,834,724.8</w:t>
            </w:r>
          </w:p>
        </w:tc>
        <w:tc>
          <w:tcPr>
            <w:tcW w:w="1417" w:type="dxa"/>
            <w:tcBorders>
              <w:top w:val="triple" w:sz="12" w:space="0" w:color="A6802D"/>
              <w:left w:val="nil"/>
              <w:bottom w:val="nil"/>
              <w:right w:val="nil"/>
            </w:tcBorders>
            <w:shd w:val="clear" w:color="000000" w:fill="F2F2F2"/>
            <w:vAlign w:val="center"/>
          </w:tcPr>
          <w:p w14:paraId="527CC0C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triple" w:sz="12" w:space="0" w:color="A6802D"/>
              <w:left w:val="nil"/>
              <w:bottom w:val="nil"/>
              <w:right w:val="nil"/>
            </w:tcBorders>
            <w:shd w:val="clear" w:color="000000" w:fill="F2F2F2"/>
            <w:vAlign w:val="center"/>
          </w:tcPr>
          <w:p w14:paraId="16FB5613"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322,662,455.7</w:t>
            </w:r>
          </w:p>
        </w:tc>
      </w:tr>
      <w:tr w:rsidR="00B53D71" w:rsidRPr="00FC0913" w14:paraId="49503907" w14:textId="77777777" w:rsidTr="00A44903">
        <w:trPr>
          <w:trHeight w:val="680"/>
          <w:jc w:val="center"/>
        </w:trPr>
        <w:tc>
          <w:tcPr>
            <w:tcW w:w="1814" w:type="dxa"/>
            <w:tcBorders>
              <w:top w:val="nil"/>
              <w:left w:val="nil"/>
              <w:bottom w:val="nil"/>
              <w:right w:val="nil"/>
            </w:tcBorders>
            <w:shd w:val="clear" w:color="000000" w:fill="F2F2F2"/>
            <w:vAlign w:val="center"/>
          </w:tcPr>
          <w:p w14:paraId="067F8D52" w14:textId="77777777" w:rsidR="00B53D71" w:rsidRPr="00B53D71" w:rsidRDefault="00B53D71" w:rsidP="00DD31D5">
            <w:pPr>
              <w:spacing w:after="0" w:line="240" w:lineRule="auto"/>
              <w:rPr>
                <w:rFonts w:ascii="Noto Sans" w:eastAsia="Times New Roman" w:hAnsi="Noto Sans" w:cs="Noto Sans"/>
                <w:color w:val="000000"/>
                <w:sz w:val="15"/>
                <w:szCs w:val="15"/>
                <w:lang w:eastAsia="es-MX"/>
              </w:rPr>
            </w:pPr>
            <w:r w:rsidRPr="00B53D71">
              <w:rPr>
                <w:rFonts w:ascii="Noto Sans" w:hAnsi="Noto Sans" w:cs="Noto Sans"/>
                <w:sz w:val="15"/>
                <w:szCs w:val="15"/>
              </w:rPr>
              <w:t>Reserva Artículo 302 de la LSS</w:t>
            </w:r>
          </w:p>
        </w:tc>
        <w:tc>
          <w:tcPr>
            <w:tcW w:w="1417" w:type="dxa"/>
            <w:tcBorders>
              <w:top w:val="nil"/>
              <w:left w:val="nil"/>
              <w:bottom w:val="nil"/>
              <w:right w:val="nil"/>
            </w:tcBorders>
            <w:shd w:val="clear" w:color="000000" w:fill="F2F2F2"/>
            <w:vAlign w:val="center"/>
          </w:tcPr>
          <w:p w14:paraId="665D47CC"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522,481,299.8</w:t>
            </w:r>
          </w:p>
        </w:tc>
        <w:tc>
          <w:tcPr>
            <w:tcW w:w="1417" w:type="dxa"/>
            <w:tcBorders>
              <w:top w:val="nil"/>
              <w:left w:val="nil"/>
              <w:bottom w:val="nil"/>
              <w:right w:val="nil"/>
            </w:tcBorders>
            <w:shd w:val="clear" w:color="000000" w:fill="F2F2F2"/>
            <w:vAlign w:val="center"/>
          </w:tcPr>
          <w:p w14:paraId="2398421D"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27,080,870.1</w:t>
            </w:r>
          </w:p>
        </w:tc>
        <w:tc>
          <w:tcPr>
            <w:tcW w:w="1417" w:type="dxa"/>
            <w:tcBorders>
              <w:top w:val="nil"/>
              <w:left w:val="nil"/>
              <w:bottom w:val="nil"/>
              <w:right w:val="nil"/>
            </w:tcBorders>
            <w:shd w:val="clear" w:color="000000" w:fill="F2F2F2"/>
            <w:vAlign w:val="center"/>
          </w:tcPr>
          <w:p w14:paraId="232D26A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-2,582,899.6</w:t>
            </w:r>
          </w:p>
        </w:tc>
        <w:tc>
          <w:tcPr>
            <w:tcW w:w="1417" w:type="dxa"/>
            <w:tcBorders>
              <w:top w:val="nil"/>
              <w:left w:val="nil"/>
              <w:bottom w:val="nil"/>
              <w:right w:val="nil"/>
            </w:tcBorders>
            <w:shd w:val="clear" w:color="000000" w:fill="F2F2F2"/>
            <w:vAlign w:val="center"/>
          </w:tcPr>
          <w:p w14:paraId="1631BA61"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-5,268,765.9</w:t>
            </w:r>
          </w:p>
        </w:tc>
        <w:tc>
          <w:tcPr>
            <w:tcW w:w="1417" w:type="dxa"/>
            <w:tcBorders>
              <w:top w:val="nil"/>
              <w:left w:val="nil"/>
              <w:bottom w:val="nil"/>
              <w:right w:val="nil"/>
            </w:tcBorders>
            <w:shd w:val="clear" w:color="000000" w:fill="F2F2F2"/>
            <w:vAlign w:val="center"/>
          </w:tcPr>
          <w:p w14:paraId="0CC7D49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-541,710,502.9</w:t>
            </w:r>
          </w:p>
        </w:tc>
        <w:tc>
          <w:tcPr>
            <w:tcW w:w="1418" w:type="dxa"/>
            <w:gridSpan w:val="2"/>
            <w:tcBorders>
              <w:top w:val="nil"/>
              <w:left w:val="nil"/>
              <w:bottom w:val="nil"/>
              <w:right w:val="nil"/>
            </w:tcBorders>
            <w:shd w:val="clear" w:color="000000" w:fill="F2F2F2"/>
            <w:vAlign w:val="center"/>
          </w:tcPr>
          <w:p w14:paraId="69324A10"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1.5</w:t>
            </w:r>
          </w:p>
        </w:tc>
      </w:tr>
      <w:tr w:rsidR="00B53D71" w:rsidRPr="00FC0913" w14:paraId="34AEA178" w14:textId="77777777" w:rsidTr="00A44903">
        <w:trPr>
          <w:trHeight w:val="680"/>
          <w:jc w:val="center"/>
        </w:trPr>
        <w:tc>
          <w:tcPr>
            <w:tcW w:w="1814" w:type="dxa"/>
            <w:tcBorders>
              <w:top w:val="nil"/>
              <w:left w:val="nil"/>
              <w:bottom w:val="nil"/>
              <w:right w:val="nil"/>
            </w:tcBorders>
            <w:shd w:val="clear" w:color="000000" w:fill="F2F2F2"/>
          </w:tcPr>
          <w:p w14:paraId="25A8ACFE" w14:textId="77777777" w:rsidR="00B53D71" w:rsidRPr="00B53D71" w:rsidRDefault="00B53D71" w:rsidP="00DD31D5">
            <w:pPr>
              <w:spacing w:after="0" w:line="240" w:lineRule="auto"/>
              <w:rPr>
                <w:rFonts w:ascii="Noto Sans" w:eastAsia="Times New Roman" w:hAnsi="Noto Sans" w:cs="Noto Sans"/>
                <w:color w:val="000000"/>
                <w:sz w:val="15"/>
                <w:szCs w:val="15"/>
                <w:lang w:eastAsia="es-MX"/>
              </w:rPr>
            </w:pPr>
            <w:r w:rsidRPr="00B53D71">
              <w:rPr>
                <w:rFonts w:ascii="Noto Sans" w:hAnsi="Noto Sans" w:cs="Noto Sans"/>
                <w:sz w:val="15"/>
                <w:szCs w:val="15"/>
              </w:rPr>
              <w:t>Fondo de Fomento a la Educación (FOFOE)</w:t>
            </w:r>
          </w:p>
        </w:tc>
        <w:tc>
          <w:tcPr>
            <w:tcW w:w="1417" w:type="dxa"/>
            <w:tcBorders>
              <w:top w:val="nil"/>
              <w:left w:val="nil"/>
              <w:bottom w:val="nil"/>
              <w:right w:val="nil"/>
            </w:tcBorders>
            <w:shd w:val="clear" w:color="000000" w:fill="F2F2F2"/>
            <w:vAlign w:val="center"/>
          </w:tcPr>
          <w:p w14:paraId="530151E2"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1,105,522,227.8</w:t>
            </w:r>
          </w:p>
        </w:tc>
        <w:tc>
          <w:tcPr>
            <w:tcW w:w="1417" w:type="dxa"/>
            <w:tcBorders>
              <w:top w:val="nil"/>
              <w:left w:val="nil"/>
              <w:bottom w:val="nil"/>
              <w:right w:val="nil"/>
            </w:tcBorders>
            <w:shd w:val="clear" w:color="000000" w:fill="F2F2F2"/>
            <w:vAlign w:val="center"/>
          </w:tcPr>
          <w:p w14:paraId="74AF1B1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137,621,260.0</w:t>
            </w:r>
          </w:p>
        </w:tc>
        <w:tc>
          <w:tcPr>
            <w:tcW w:w="1417" w:type="dxa"/>
            <w:tcBorders>
              <w:top w:val="nil"/>
              <w:left w:val="nil"/>
              <w:bottom w:val="nil"/>
              <w:right w:val="nil"/>
            </w:tcBorders>
            <w:shd w:val="clear" w:color="000000" w:fill="F2F2F2"/>
            <w:vAlign w:val="center"/>
          </w:tcPr>
          <w:p w14:paraId="7CB07429"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18654B7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144,135,276.3</w:t>
            </w:r>
          </w:p>
        </w:tc>
        <w:tc>
          <w:tcPr>
            <w:tcW w:w="1417" w:type="dxa"/>
            <w:tcBorders>
              <w:top w:val="nil"/>
              <w:left w:val="nil"/>
              <w:bottom w:val="nil"/>
              <w:right w:val="nil"/>
            </w:tcBorders>
            <w:shd w:val="clear" w:color="000000" w:fill="F2F2F2"/>
            <w:vAlign w:val="center"/>
          </w:tcPr>
          <w:p w14:paraId="010E11B2"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13C982E1"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1,387,278,764.1</w:t>
            </w:r>
          </w:p>
        </w:tc>
      </w:tr>
      <w:tr w:rsidR="00B53D71" w:rsidRPr="00FC0913" w14:paraId="077AAD74" w14:textId="77777777" w:rsidTr="00A44903">
        <w:trPr>
          <w:trHeight w:val="680"/>
          <w:jc w:val="center"/>
        </w:trPr>
        <w:tc>
          <w:tcPr>
            <w:tcW w:w="1814" w:type="dxa"/>
            <w:tcBorders>
              <w:top w:val="nil"/>
              <w:left w:val="nil"/>
              <w:bottom w:val="nil"/>
              <w:right w:val="nil"/>
            </w:tcBorders>
            <w:shd w:val="clear" w:color="000000" w:fill="F2F2F2"/>
            <w:vAlign w:val="center"/>
          </w:tcPr>
          <w:p w14:paraId="2A75529F" w14:textId="77777777" w:rsidR="00B53D71" w:rsidRPr="00B53D71" w:rsidRDefault="00B53D71" w:rsidP="00DD31D5">
            <w:pPr>
              <w:spacing w:after="0" w:line="240" w:lineRule="auto"/>
              <w:rPr>
                <w:rFonts w:ascii="Noto Sans" w:hAnsi="Noto Sans" w:cs="Noto Sans"/>
                <w:sz w:val="15"/>
                <w:szCs w:val="15"/>
              </w:rPr>
            </w:pPr>
            <w:r w:rsidRPr="00B53D71">
              <w:rPr>
                <w:rFonts w:ascii="Noto Sans" w:hAnsi="Noto Sans" w:cs="Noto Sans"/>
                <w:sz w:val="15"/>
                <w:szCs w:val="15"/>
              </w:rPr>
              <w:t>Cláusulas 85-89 (C 85-89)</w:t>
            </w:r>
          </w:p>
        </w:tc>
        <w:tc>
          <w:tcPr>
            <w:tcW w:w="1417" w:type="dxa"/>
            <w:tcBorders>
              <w:top w:val="nil"/>
              <w:left w:val="nil"/>
              <w:bottom w:val="nil"/>
              <w:right w:val="nil"/>
            </w:tcBorders>
            <w:shd w:val="clear" w:color="000000" w:fill="F2F2F2"/>
            <w:vAlign w:val="center"/>
          </w:tcPr>
          <w:p w14:paraId="71EF6DAC"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909,557,759.2</w:t>
            </w:r>
          </w:p>
        </w:tc>
        <w:tc>
          <w:tcPr>
            <w:tcW w:w="1417" w:type="dxa"/>
            <w:tcBorders>
              <w:top w:val="nil"/>
              <w:left w:val="nil"/>
              <w:bottom w:val="nil"/>
              <w:right w:val="nil"/>
            </w:tcBorders>
            <w:shd w:val="clear" w:color="000000" w:fill="F2F2F2"/>
            <w:vAlign w:val="center"/>
          </w:tcPr>
          <w:p w14:paraId="094F41C2"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105,593,674.8</w:t>
            </w:r>
          </w:p>
        </w:tc>
        <w:tc>
          <w:tcPr>
            <w:tcW w:w="1417" w:type="dxa"/>
            <w:tcBorders>
              <w:top w:val="nil"/>
              <w:left w:val="nil"/>
              <w:bottom w:val="nil"/>
              <w:right w:val="nil"/>
            </w:tcBorders>
            <w:shd w:val="clear" w:color="000000" w:fill="F2F2F2"/>
            <w:vAlign w:val="center"/>
          </w:tcPr>
          <w:p w14:paraId="409A5850"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7C3ACEAC"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-18,759,304.0</w:t>
            </w:r>
          </w:p>
        </w:tc>
        <w:tc>
          <w:tcPr>
            <w:tcW w:w="1417" w:type="dxa"/>
            <w:tcBorders>
              <w:top w:val="nil"/>
              <w:left w:val="nil"/>
              <w:bottom w:val="nil"/>
              <w:right w:val="nil"/>
            </w:tcBorders>
            <w:shd w:val="clear" w:color="000000" w:fill="F2F2F2"/>
            <w:vAlign w:val="center"/>
          </w:tcPr>
          <w:p w14:paraId="7717A5FA"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61474DA5"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996,392,130.0</w:t>
            </w:r>
          </w:p>
        </w:tc>
      </w:tr>
      <w:tr w:rsidR="00B53D71" w:rsidRPr="00FC0913" w14:paraId="30A56E0F" w14:textId="77777777" w:rsidTr="00A44903">
        <w:trPr>
          <w:trHeight w:val="680"/>
          <w:jc w:val="center"/>
        </w:trPr>
        <w:tc>
          <w:tcPr>
            <w:tcW w:w="1814" w:type="dxa"/>
            <w:tcBorders>
              <w:top w:val="nil"/>
              <w:left w:val="nil"/>
              <w:bottom w:val="nil"/>
              <w:right w:val="nil"/>
            </w:tcBorders>
            <w:shd w:val="clear" w:color="000000" w:fill="F2F2F2"/>
          </w:tcPr>
          <w:p w14:paraId="085CEDF2"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Aportaciones Federales para el Pago de Pensiones (AFPP)</w:t>
            </w:r>
          </w:p>
        </w:tc>
        <w:tc>
          <w:tcPr>
            <w:tcW w:w="1417" w:type="dxa"/>
            <w:tcBorders>
              <w:top w:val="nil"/>
              <w:left w:val="nil"/>
              <w:bottom w:val="nil"/>
              <w:right w:val="nil"/>
            </w:tcBorders>
            <w:shd w:val="clear" w:color="000000" w:fill="F2F2F2"/>
            <w:vAlign w:val="center"/>
          </w:tcPr>
          <w:p w14:paraId="7021163B"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74,379,114.2</w:t>
            </w:r>
          </w:p>
        </w:tc>
        <w:tc>
          <w:tcPr>
            <w:tcW w:w="1417" w:type="dxa"/>
            <w:tcBorders>
              <w:top w:val="nil"/>
              <w:left w:val="nil"/>
              <w:bottom w:val="nil"/>
              <w:right w:val="nil"/>
            </w:tcBorders>
            <w:shd w:val="clear" w:color="000000" w:fill="F2F2F2"/>
            <w:vAlign w:val="center"/>
          </w:tcPr>
          <w:p w14:paraId="405ED3EA"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90,470,733.1</w:t>
            </w:r>
          </w:p>
        </w:tc>
        <w:tc>
          <w:tcPr>
            <w:tcW w:w="1417" w:type="dxa"/>
            <w:tcBorders>
              <w:top w:val="nil"/>
              <w:left w:val="nil"/>
              <w:bottom w:val="nil"/>
              <w:right w:val="nil"/>
            </w:tcBorders>
            <w:shd w:val="clear" w:color="000000" w:fill="F2F2F2"/>
            <w:vAlign w:val="center"/>
          </w:tcPr>
          <w:p w14:paraId="10F482DD"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0F4D1D5F"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-74,307,842.0</w:t>
            </w:r>
          </w:p>
        </w:tc>
        <w:tc>
          <w:tcPr>
            <w:tcW w:w="1417" w:type="dxa"/>
            <w:tcBorders>
              <w:top w:val="nil"/>
              <w:left w:val="nil"/>
              <w:bottom w:val="nil"/>
              <w:right w:val="nil"/>
            </w:tcBorders>
            <w:shd w:val="clear" w:color="000000" w:fill="F2F2F2"/>
            <w:vAlign w:val="center"/>
          </w:tcPr>
          <w:p w14:paraId="1C6C8B1F"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0B21F44A"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90,542,005.3</w:t>
            </w:r>
          </w:p>
        </w:tc>
      </w:tr>
      <w:tr w:rsidR="00B53D71" w:rsidRPr="00FC0913" w14:paraId="3BBB3518" w14:textId="77777777" w:rsidTr="00A44903">
        <w:trPr>
          <w:trHeight w:val="1077"/>
          <w:jc w:val="center"/>
        </w:trPr>
        <w:tc>
          <w:tcPr>
            <w:tcW w:w="1814" w:type="dxa"/>
            <w:tcBorders>
              <w:top w:val="nil"/>
              <w:left w:val="nil"/>
              <w:bottom w:val="nil"/>
              <w:right w:val="nil"/>
            </w:tcBorders>
            <w:shd w:val="clear" w:color="000000" w:fill="F2F2F2"/>
          </w:tcPr>
          <w:p w14:paraId="557C119C"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Recursos del Convenio entre IMSS-Bienestar con el Instituto de Salud para el Bienestar (INSABI)</w:t>
            </w:r>
          </w:p>
        </w:tc>
        <w:tc>
          <w:tcPr>
            <w:tcW w:w="1417" w:type="dxa"/>
            <w:tcBorders>
              <w:top w:val="nil"/>
              <w:left w:val="nil"/>
              <w:bottom w:val="nil"/>
              <w:right w:val="nil"/>
            </w:tcBorders>
            <w:shd w:val="clear" w:color="000000" w:fill="F2F2F2"/>
            <w:vAlign w:val="center"/>
          </w:tcPr>
          <w:p w14:paraId="13BC778C"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659,678,206.7</w:t>
            </w:r>
          </w:p>
        </w:tc>
        <w:tc>
          <w:tcPr>
            <w:tcW w:w="1417" w:type="dxa"/>
            <w:tcBorders>
              <w:top w:val="nil"/>
              <w:left w:val="nil"/>
              <w:bottom w:val="nil"/>
              <w:right w:val="nil"/>
            </w:tcBorders>
            <w:shd w:val="clear" w:color="000000" w:fill="F2F2F2"/>
            <w:vAlign w:val="center"/>
          </w:tcPr>
          <w:p w14:paraId="40430296"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38,641,641.7</w:t>
            </w:r>
          </w:p>
        </w:tc>
        <w:tc>
          <w:tcPr>
            <w:tcW w:w="1417" w:type="dxa"/>
            <w:tcBorders>
              <w:top w:val="nil"/>
              <w:left w:val="nil"/>
              <w:bottom w:val="nil"/>
              <w:right w:val="nil"/>
            </w:tcBorders>
            <w:shd w:val="clear" w:color="000000" w:fill="F2F2F2"/>
            <w:vAlign w:val="center"/>
          </w:tcPr>
          <w:p w14:paraId="65C70E54"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07DA48E"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-567,652,367.9</w:t>
            </w:r>
          </w:p>
        </w:tc>
        <w:tc>
          <w:tcPr>
            <w:tcW w:w="1417" w:type="dxa"/>
            <w:tcBorders>
              <w:top w:val="nil"/>
              <w:left w:val="nil"/>
              <w:bottom w:val="nil"/>
              <w:right w:val="nil"/>
            </w:tcBorders>
            <w:shd w:val="clear" w:color="000000" w:fill="F2F2F2"/>
            <w:vAlign w:val="center"/>
          </w:tcPr>
          <w:p w14:paraId="0F1E8E9E"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2251EB43"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130,667,480.5</w:t>
            </w:r>
          </w:p>
        </w:tc>
      </w:tr>
      <w:tr w:rsidR="00B53D71" w:rsidRPr="00FC0913" w14:paraId="0844125E" w14:textId="77777777" w:rsidTr="00A44903">
        <w:trPr>
          <w:trHeight w:val="680"/>
          <w:jc w:val="center"/>
        </w:trPr>
        <w:tc>
          <w:tcPr>
            <w:tcW w:w="1814" w:type="dxa"/>
            <w:tcBorders>
              <w:top w:val="nil"/>
              <w:left w:val="nil"/>
              <w:bottom w:val="nil"/>
              <w:right w:val="nil"/>
            </w:tcBorders>
            <w:shd w:val="clear" w:color="000000" w:fill="F2F2F2"/>
          </w:tcPr>
          <w:p w14:paraId="17F0A5B3" w14:textId="77777777" w:rsidR="00B53D71" w:rsidRPr="00B53D71" w:rsidRDefault="00B53D71" w:rsidP="00DD31D5">
            <w:pPr>
              <w:spacing w:after="0" w:line="240" w:lineRule="auto"/>
              <w:jc w:val="both"/>
              <w:rPr>
                <w:rFonts w:ascii="Noto Sans" w:eastAsia="Times New Roman" w:hAnsi="Noto Sans" w:cs="Noto Sans"/>
                <w:color w:val="000000"/>
                <w:sz w:val="15"/>
                <w:szCs w:val="15"/>
                <w:lang w:eastAsia="es-MX"/>
              </w:rPr>
            </w:pPr>
            <w:r w:rsidRPr="00B53D71">
              <w:rPr>
                <w:rFonts w:ascii="Noto Sans" w:hAnsi="Noto Sans" w:cs="Noto Sans"/>
                <w:sz w:val="15"/>
                <w:szCs w:val="15"/>
              </w:rPr>
              <w:t>Recursos para ampliar la cobertura de IMSS-Bienestar (BIENESTAR)</w:t>
            </w:r>
          </w:p>
        </w:tc>
        <w:tc>
          <w:tcPr>
            <w:tcW w:w="1417" w:type="dxa"/>
            <w:tcBorders>
              <w:top w:val="nil"/>
              <w:left w:val="nil"/>
              <w:bottom w:val="nil"/>
              <w:right w:val="nil"/>
            </w:tcBorders>
            <w:shd w:val="clear" w:color="000000" w:fill="F2F2F2"/>
            <w:vAlign w:val="center"/>
          </w:tcPr>
          <w:p w14:paraId="06117E8D"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1.2</w:t>
            </w:r>
          </w:p>
        </w:tc>
        <w:tc>
          <w:tcPr>
            <w:tcW w:w="1417" w:type="dxa"/>
            <w:tcBorders>
              <w:top w:val="nil"/>
              <w:left w:val="nil"/>
              <w:bottom w:val="nil"/>
              <w:right w:val="nil"/>
            </w:tcBorders>
            <w:shd w:val="clear" w:color="000000" w:fill="F2F2F2"/>
            <w:vAlign w:val="center"/>
          </w:tcPr>
          <w:p w14:paraId="68309560"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2ADF7FE2"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B39CC2E"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0.0</w:t>
            </w:r>
          </w:p>
        </w:tc>
        <w:tc>
          <w:tcPr>
            <w:tcW w:w="1417" w:type="dxa"/>
            <w:tcBorders>
              <w:top w:val="nil"/>
              <w:left w:val="nil"/>
              <w:bottom w:val="nil"/>
              <w:right w:val="nil"/>
            </w:tcBorders>
            <w:shd w:val="clear" w:color="000000" w:fill="F2F2F2"/>
            <w:vAlign w:val="center"/>
          </w:tcPr>
          <w:p w14:paraId="535ADAB3" w14:textId="77777777" w:rsidR="00B53D71" w:rsidRPr="00B53D71" w:rsidRDefault="00B53D71" w:rsidP="00DD31D5">
            <w:pPr>
              <w:spacing w:after="0" w:line="240" w:lineRule="auto"/>
              <w:jc w:val="right"/>
              <w:rPr>
                <w:rFonts w:ascii="Noto Sans" w:hAnsi="Noto Sans" w:cs="Noto Sans"/>
                <w:sz w:val="15"/>
                <w:szCs w:val="15"/>
              </w:rPr>
            </w:pPr>
            <w:r w:rsidRPr="00B53D71">
              <w:rPr>
                <w:rFonts w:ascii="Noto Sans" w:hAnsi="Noto Sans" w:cs="Noto Sans"/>
                <w:color w:val="000000"/>
                <w:sz w:val="15"/>
                <w:szCs w:val="15"/>
              </w:rPr>
              <w:t>0.0</w:t>
            </w:r>
          </w:p>
        </w:tc>
        <w:tc>
          <w:tcPr>
            <w:tcW w:w="1418" w:type="dxa"/>
            <w:gridSpan w:val="2"/>
            <w:tcBorders>
              <w:top w:val="nil"/>
              <w:left w:val="nil"/>
              <w:bottom w:val="nil"/>
              <w:right w:val="nil"/>
            </w:tcBorders>
            <w:shd w:val="clear" w:color="000000" w:fill="F2F2F2"/>
            <w:vAlign w:val="center"/>
          </w:tcPr>
          <w:p w14:paraId="5F84E4A2" w14:textId="77777777" w:rsidR="00B53D71" w:rsidRPr="00B53D71" w:rsidRDefault="00B53D71" w:rsidP="00DD31D5">
            <w:pPr>
              <w:spacing w:after="0" w:line="240" w:lineRule="auto"/>
              <w:jc w:val="right"/>
              <w:rPr>
                <w:rFonts w:ascii="Noto Sans" w:eastAsia="Times New Roman" w:hAnsi="Noto Sans" w:cs="Noto Sans"/>
                <w:color w:val="000000"/>
                <w:sz w:val="15"/>
                <w:szCs w:val="15"/>
                <w:lang w:eastAsia="es-MX"/>
              </w:rPr>
            </w:pPr>
            <w:r w:rsidRPr="00B53D71">
              <w:rPr>
                <w:rFonts w:ascii="Noto Sans" w:hAnsi="Noto Sans" w:cs="Noto Sans"/>
                <w:color w:val="000000"/>
                <w:sz w:val="15"/>
                <w:szCs w:val="15"/>
              </w:rPr>
              <w:t>1.2</w:t>
            </w:r>
          </w:p>
        </w:tc>
      </w:tr>
      <w:tr w:rsidR="00B53D71" w:rsidRPr="005946C5" w14:paraId="04064B77" w14:textId="77777777" w:rsidTr="00A44903">
        <w:trPr>
          <w:trHeight w:val="680"/>
          <w:jc w:val="center"/>
        </w:trPr>
        <w:tc>
          <w:tcPr>
            <w:tcW w:w="1814" w:type="dxa"/>
            <w:tcBorders>
              <w:top w:val="nil"/>
              <w:left w:val="nil"/>
              <w:bottom w:val="single" w:sz="12" w:space="0" w:color="A6802D"/>
              <w:right w:val="nil"/>
            </w:tcBorders>
            <w:shd w:val="clear" w:color="000000" w:fill="F2F2F2"/>
            <w:vAlign w:val="center"/>
          </w:tcPr>
          <w:p w14:paraId="368148C3" w14:textId="77777777" w:rsidR="00B53D71" w:rsidRPr="00B53D71" w:rsidRDefault="00B53D71" w:rsidP="00DD31D5">
            <w:pPr>
              <w:spacing w:after="0" w:line="240" w:lineRule="auto"/>
              <w:rPr>
                <w:rFonts w:ascii="Noto Sans" w:eastAsia="Times New Roman" w:hAnsi="Noto Sans" w:cs="Noto Sans"/>
                <w:b/>
                <w:bCs/>
                <w:color w:val="000000"/>
                <w:sz w:val="15"/>
                <w:szCs w:val="15"/>
                <w:lang w:eastAsia="es-MX"/>
              </w:rPr>
            </w:pPr>
            <w:proofErr w:type="gramStart"/>
            <w:r w:rsidRPr="00B53D71">
              <w:rPr>
                <w:rFonts w:ascii="Noto Sans" w:eastAsia="Times New Roman" w:hAnsi="Noto Sans" w:cs="Noto Sans"/>
                <w:b/>
                <w:bCs/>
                <w:color w:val="000000"/>
                <w:sz w:val="15"/>
                <w:szCs w:val="15"/>
                <w:lang w:eastAsia="es-MX"/>
              </w:rPr>
              <w:t>Total</w:t>
            </w:r>
            <w:proofErr w:type="gramEnd"/>
            <w:r w:rsidRPr="00B53D71">
              <w:rPr>
                <w:rFonts w:ascii="Noto Sans" w:eastAsia="Times New Roman" w:hAnsi="Noto Sans" w:cs="Noto Sans"/>
                <w:b/>
                <w:bCs/>
                <w:color w:val="000000"/>
                <w:sz w:val="15"/>
                <w:szCs w:val="15"/>
                <w:lang w:eastAsia="es-MX"/>
              </w:rPr>
              <w:t xml:space="preserve"> Recursos administrados a cuenta de Terceros</w:t>
            </w:r>
          </w:p>
        </w:tc>
        <w:tc>
          <w:tcPr>
            <w:tcW w:w="1417" w:type="dxa"/>
            <w:tcBorders>
              <w:top w:val="nil"/>
              <w:left w:val="nil"/>
              <w:bottom w:val="single" w:sz="12" w:space="0" w:color="A6802D"/>
              <w:right w:val="nil"/>
            </w:tcBorders>
            <w:shd w:val="clear" w:color="000000" w:fill="F2F2F2"/>
            <w:vAlign w:val="center"/>
          </w:tcPr>
          <w:p w14:paraId="18D1258D"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3,581,934,085.3</w:t>
            </w:r>
          </w:p>
        </w:tc>
        <w:tc>
          <w:tcPr>
            <w:tcW w:w="1417" w:type="dxa"/>
            <w:tcBorders>
              <w:top w:val="nil"/>
              <w:left w:val="nil"/>
              <w:bottom w:val="single" w:sz="12" w:space="0" w:color="A6802D"/>
              <w:right w:val="nil"/>
            </w:tcBorders>
            <w:shd w:val="clear" w:color="000000" w:fill="F2F2F2"/>
            <w:vAlign w:val="center"/>
          </w:tcPr>
          <w:p w14:paraId="2A9A5B5B"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429,589,883.8</w:t>
            </w:r>
          </w:p>
        </w:tc>
        <w:tc>
          <w:tcPr>
            <w:tcW w:w="1417" w:type="dxa"/>
            <w:tcBorders>
              <w:top w:val="nil"/>
              <w:left w:val="nil"/>
              <w:bottom w:val="single" w:sz="12" w:space="0" w:color="A6802D"/>
              <w:right w:val="nil"/>
            </w:tcBorders>
            <w:shd w:val="clear" w:color="000000" w:fill="F2F2F2"/>
            <w:vAlign w:val="center"/>
          </w:tcPr>
          <w:p w14:paraId="7EAF7052"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-2,582,899.6</w:t>
            </w:r>
          </w:p>
        </w:tc>
        <w:tc>
          <w:tcPr>
            <w:tcW w:w="1417" w:type="dxa"/>
            <w:tcBorders>
              <w:top w:val="nil"/>
              <w:left w:val="nil"/>
              <w:bottom w:val="single" w:sz="12" w:space="0" w:color="A6802D"/>
              <w:right w:val="nil"/>
            </w:tcBorders>
            <w:shd w:val="clear" w:color="000000" w:fill="F2F2F2"/>
            <w:vAlign w:val="center"/>
          </w:tcPr>
          <w:p w14:paraId="2B74F7D2"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-539,687,728.3</w:t>
            </w:r>
          </w:p>
        </w:tc>
        <w:tc>
          <w:tcPr>
            <w:tcW w:w="1417" w:type="dxa"/>
            <w:tcBorders>
              <w:top w:val="nil"/>
              <w:left w:val="nil"/>
              <w:bottom w:val="single" w:sz="12" w:space="0" w:color="A6802D"/>
              <w:right w:val="nil"/>
            </w:tcBorders>
            <w:shd w:val="clear" w:color="000000" w:fill="F2F2F2"/>
            <w:vAlign w:val="center"/>
          </w:tcPr>
          <w:p w14:paraId="4153FAD9" w14:textId="77777777" w:rsidR="00B53D71" w:rsidRPr="00B53D71" w:rsidRDefault="00B53D71" w:rsidP="00DD31D5">
            <w:pPr>
              <w:spacing w:after="0" w:line="240" w:lineRule="auto"/>
              <w:jc w:val="right"/>
              <w:rPr>
                <w:rFonts w:ascii="Noto Sans" w:hAnsi="Noto Sans" w:cs="Noto Sans"/>
                <w:b/>
                <w:bCs/>
                <w:sz w:val="15"/>
                <w:szCs w:val="15"/>
              </w:rPr>
            </w:pPr>
            <w:r w:rsidRPr="00B53D71">
              <w:rPr>
                <w:rFonts w:ascii="Noto Sans" w:hAnsi="Noto Sans" w:cs="Noto Sans"/>
                <w:b/>
                <w:bCs/>
                <w:color w:val="000000"/>
                <w:sz w:val="15"/>
                <w:szCs w:val="15"/>
              </w:rPr>
              <w:t>-541,710,502.9</w:t>
            </w:r>
          </w:p>
        </w:tc>
        <w:tc>
          <w:tcPr>
            <w:tcW w:w="1418" w:type="dxa"/>
            <w:gridSpan w:val="2"/>
            <w:tcBorders>
              <w:top w:val="nil"/>
              <w:left w:val="nil"/>
              <w:bottom w:val="single" w:sz="12" w:space="0" w:color="A6802D"/>
              <w:right w:val="nil"/>
            </w:tcBorders>
            <w:shd w:val="clear" w:color="000000" w:fill="F2F2F2"/>
            <w:vAlign w:val="center"/>
          </w:tcPr>
          <w:p w14:paraId="4DCB1C37" w14:textId="77777777" w:rsidR="00B53D71" w:rsidRPr="00B53D71" w:rsidRDefault="00B53D71" w:rsidP="00DD31D5">
            <w:pPr>
              <w:spacing w:after="0" w:line="240" w:lineRule="auto"/>
              <w:jc w:val="right"/>
              <w:rPr>
                <w:rFonts w:ascii="Noto Sans" w:eastAsia="Times New Roman" w:hAnsi="Noto Sans" w:cs="Noto Sans"/>
                <w:b/>
                <w:bCs/>
                <w:color w:val="000000"/>
                <w:sz w:val="15"/>
                <w:szCs w:val="15"/>
                <w:lang w:eastAsia="es-MX"/>
              </w:rPr>
            </w:pPr>
            <w:r w:rsidRPr="00B53D71">
              <w:rPr>
                <w:rFonts w:ascii="Noto Sans" w:hAnsi="Noto Sans" w:cs="Noto Sans"/>
                <w:b/>
                <w:bCs/>
                <w:color w:val="000000"/>
                <w:sz w:val="15"/>
                <w:szCs w:val="15"/>
              </w:rPr>
              <w:t>2,927,542,838.3</w:t>
            </w:r>
          </w:p>
        </w:tc>
      </w:tr>
      <w:tr w:rsidR="00B53D71" w:rsidRPr="00274555" w14:paraId="428E079B" w14:textId="77777777" w:rsidTr="00B53D71">
        <w:trPr>
          <w:gridAfter w:val="1"/>
          <w:wAfter w:w="317" w:type="dxa"/>
          <w:trHeight w:val="226"/>
          <w:jc w:val="center"/>
        </w:trPr>
        <w:tc>
          <w:tcPr>
            <w:tcW w:w="10001" w:type="dxa"/>
            <w:gridSpan w:val="7"/>
            <w:tcBorders>
              <w:top w:val="single" w:sz="12" w:space="0" w:color="A6802D"/>
              <w:left w:val="nil"/>
            </w:tcBorders>
          </w:tcPr>
          <w:p w14:paraId="0089D3C6" w14:textId="77777777" w:rsidR="00B53D71" w:rsidRPr="00274555" w:rsidRDefault="00B53D71"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5DC69362" w14:textId="77777777" w:rsidR="005B633B" w:rsidRDefault="005B633B" w:rsidP="002652E2">
      <w:pPr>
        <w:pStyle w:val="TEXTONORMAL"/>
        <w:tabs>
          <w:tab w:val="left" w:pos="2323"/>
        </w:tabs>
        <w:rPr>
          <w:rFonts w:cs="Noto Sans"/>
          <w:szCs w:val="18"/>
        </w:rPr>
      </w:pPr>
    </w:p>
    <w:p w14:paraId="2611063F" w14:textId="77777777" w:rsidR="00B53D71" w:rsidRDefault="00B53D71" w:rsidP="002652E2">
      <w:pPr>
        <w:pStyle w:val="TEXTONORMAL"/>
        <w:tabs>
          <w:tab w:val="left" w:pos="2323"/>
        </w:tabs>
        <w:rPr>
          <w:rFonts w:cs="Noto Sans"/>
          <w:szCs w:val="18"/>
        </w:rPr>
      </w:pPr>
    </w:p>
    <w:p w14:paraId="5109729B" w14:textId="77777777" w:rsidR="00D8459F" w:rsidRDefault="00D8459F" w:rsidP="002652E2">
      <w:pPr>
        <w:pStyle w:val="TEXTONORMAL"/>
        <w:tabs>
          <w:tab w:val="left" w:pos="2323"/>
        </w:tabs>
        <w:rPr>
          <w:rFonts w:cs="Noto Sans"/>
          <w:szCs w:val="18"/>
        </w:rPr>
      </w:pPr>
    </w:p>
    <w:p w14:paraId="655A7B05" w14:textId="77777777" w:rsidR="0020117C" w:rsidRDefault="0020117C" w:rsidP="002652E2">
      <w:pPr>
        <w:pStyle w:val="TEXTONORMAL"/>
        <w:tabs>
          <w:tab w:val="left" w:pos="2323"/>
        </w:tabs>
        <w:rPr>
          <w:rFonts w:cs="Noto Sans"/>
          <w:szCs w:val="18"/>
        </w:rPr>
      </w:pPr>
    </w:p>
    <w:p w14:paraId="04E09A0B" w14:textId="76D88E4D" w:rsidR="00E24691" w:rsidRDefault="00A44903" w:rsidP="00ED1D2E">
      <w:pPr>
        <w:pStyle w:val="Prrafodelista"/>
        <w:numPr>
          <w:ilvl w:val="0"/>
          <w:numId w:val="15"/>
        </w:numPr>
        <w:spacing w:after="120"/>
        <w:ind w:left="714" w:hanging="357"/>
        <w:rPr>
          <w:rFonts w:ascii="Noto Sans" w:hAnsi="Noto Sans" w:cs="Noto Sans"/>
          <w:sz w:val="18"/>
          <w:szCs w:val="18"/>
        </w:rPr>
      </w:pPr>
      <w:r w:rsidRPr="007574CD">
        <w:rPr>
          <w:rFonts w:ascii="Noto Sans" w:hAnsi="Noto Sans" w:cs="Noto Sans"/>
          <w:sz w:val="18"/>
          <w:szCs w:val="18"/>
        </w:rPr>
        <w:lastRenderedPageBreak/>
        <w:t>3</w:t>
      </w:r>
      <w:r w:rsidR="00E24691" w:rsidRPr="007574CD">
        <w:rPr>
          <w:rFonts w:ascii="Noto Sans" w:hAnsi="Noto Sans" w:cs="Noto Sans"/>
          <w:sz w:val="18"/>
          <w:szCs w:val="18"/>
        </w:rPr>
        <w:t xml:space="preserve">.7.b) </w:t>
      </w:r>
      <w:r w:rsidR="004C72F3" w:rsidRPr="007574CD">
        <w:rPr>
          <w:rFonts w:ascii="Noto Sans" w:hAnsi="Noto Sans" w:cs="Noto Sans"/>
          <w:sz w:val="18"/>
          <w:szCs w:val="18"/>
        </w:rPr>
        <w:t>A</w:t>
      </w:r>
      <w:r w:rsidR="004C72F3" w:rsidRPr="000F4D76">
        <w:rPr>
          <w:rFonts w:ascii="Noto Sans" w:hAnsi="Noto Sans" w:cs="Noto Sans"/>
          <w:sz w:val="18"/>
          <w:szCs w:val="18"/>
        </w:rPr>
        <w:t xml:space="preserve">l </w:t>
      </w:r>
      <w:r w:rsidR="00F35BA8" w:rsidRPr="007574CD">
        <w:rPr>
          <w:rFonts w:ascii="Noto Sans" w:hAnsi="Noto Sans" w:cs="Noto Sans"/>
          <w:sz w:val="18"/>
          <w:szCs w:val="18"/>
        </w:rPr>
        <w:t xml:space="preserve">30 de junio </w:t>
      </w:r>
      <w:r w:rsidR="004C72F3" w:rsidRPr="000F4D76">
        <w:rPr>
          <w:rFonts w:ascii="Noto Sans" w:hAnsi="Noto Sans" w:cs="Noto Sans"/>
          <w:sz w:val="18"/>
          <w:szCs w:val="18"/>
        </w:rPr>
        <w:t>de 2025 y 31 de diciembre de 2024</w:t>
      </w:r>
      <w:r w:rsidR="00E24691" w:rsidRPr="00E24691">
        <w:rPr>
          <w:rFonts w:ascii="Noto Sans" w:hAnsi="Noto Sans" w:cs="Noto Sans"/>
          <w:sz w:val="18"/>
          <w:szCs w:val="18"/>
        </w:rPr>
        <w:t>, las Participaciones y Aportaciones de Capital se integran como sigue:</w:t>
      </w:r>
    </w:p>
    <w:p w14:paraId="378238F7" w14:textId="77777777" w:rsidR="00E24691" w:rsidRPr="00E24691" w:rsidRDefault="00E24691" w:rsidP="00E24691">
      <w:pPr>
        <w:pStyle w:val="Prrafodelista"/>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E24691" w:rsidRPr="005946C5" w14:paraId="68C8DAE1"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9D03293"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330F8E2"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E24691" w:rsidRPr="005946C5" w14:paraId="4E4DBD32"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7C81CF56"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AFC2223" w14:textId="04C71DA0" w:rsidR="00E24691" w:rsidRPr="008E629A" w:rsidRDefault="003019E2"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55B650FC" w14:textId="49F8253E" w:rsidR="00E24691" w:rsidRPr="008E629A" w:rsidRDefault="00E24691"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B14887" w:rsidRPr="00FC0913" w14:paraId="7E7328EA" w14:textId="77777777" w:rsidTr="00A44903">
        <w:trPr>
          <w:trHeight w:val="283"/>
          <w:jc w:val="center"/>
        </w:trPr>
        <w:tc>
          <w:tcPr>
            <w:tcW w:w="5475" w:type="dxa"/>
            <w:tcBorders>
              <w:top w:val="nil"/>
              <w:left w:val="nil"/>
              <w:bottom w:val="nil"/>
              <w:right w:val="nil"/>
            </w:tcBorders>
            <w:shd w:val="clear" w:color="000000" w:fill="F2F2F2"/>
            <w:vAlign w:val="center"/>
          </w:tcPr>
          <w:p w14:paraId="0F2D52EB" w14:textId="4714D522" w:rsidR="00B14887" w:rsidRPr="004374D2" w:rsidRDefault="00B14887" w:rsidP="00B14887">
            <w:pPr>
              <w:spacing w:after="0" w:line="240" w:lineRule="exact"/>
              <w:rPr>
                <w:rFonts w:ascii="Noto Sans" w:hAnsi="Noto Sans" w:cs="Noto Sans"/>
                <w:sz w:val="15"/>
                <w:szCs w:val="15"/>
              </w:rPr>
            </w:pPr>
            <w:r>
              <w:rPr>
                <w:rFonts w:ascii="Noto Sans" w:hAnsi="Noto Sans" w:cs="Noto Sans"/>
                <w:color w:val="000000"/>
                <w:sz w:val="15"/>
                <w:szCs w:val="15"/>
              </w:rPr>
              <w:t>Afore XXI Banorte</w:t>
            </w:r>
          </w:p>
        </w:tc>
        <w:tc>
          <w:tcPr>
            <w:tcW w:w="1960" w:type="dxa"/>
            <w:tcBorders>
              <w:top w:val="nil"/>
              <w:left w:val="nil"/>
              <w:bottom w:val="nil"/>
              <w:right w:val="nil"/>
            </w:tcBorders>
            <w:shd w:val="clear" w:color="000000" w:fill="F2F2F2"/>
            <w:vAlign w:val="center"/>
          </w:tcPr>
          <w:p w14:paraId="58D2C794" w14:textId="4787961E" w:rsidR="00B14887" w:rsidRPr="003019E2" w:rsidRDefault="00B14887" w:rsidP="00B14887">
            <w:pPr>
              <w:spacing w:after="0" w:line="240" w:lineRule="exact"/>
              <w:jc w:val="right"/>
              <w:rPr>
                <w:rFonts w:ascii="Noto Sans" w:hAnsi="Noto Sans" w:cs="Noto Sans"/>
                <w:sz w:val="15"/>
                <w:szCs w:val="15"/>
              </w:rPr>
            </w:pPr>
            <w:r>
              <w:rPr>
                <w:rFonts w:ascii="Noto Sans" w:hAnsi="Noto Sans" w:cs="Noto Sans"/>
                <w:color w:val="000000"/>
                <w:sz w:val="15"/>
                <w:szCs w:val="15"/>
              </w:rPr>
              <w:t>12,004,395,048.3</w:t>
            </w:r>
          </w:p>
        </w:tc>
        <w:tc>
          <w:tcPr>
            <w:tcW w:w="1961" w:type="dxa"/>
            <w:tcBorders>
              <w:top w:val="nil"/>
              <w:left w:val="nil"/>
              <w:bottom w:val="nil"/>
              <w:right w:val="nil"/>
            </w:tcBorders>
            <w:shd w:val="clear" w:color="000000" w:fill="F2F2F2"/>
            <w:vAlign w:val="center"/>
          </w:tcPr>
          <w:p w14:paraId="293F5A2D" w14:textId="75C46532" w:rsidR="00B14887" w:rsidRPr="003019E2" w:rsidRDefault="00B14887" w:rsidP="00B14887">
            <w:pPr>
              <w:spacing w:after="0" w:line="240" w:lineRule="exact"/>
              <w:jc w:val="right"/>
              <w:rPr>
                <w:rFonts w:ascii="Noto Sans" w:hAnsi="Noto Sans" w:cs="Noto Sans"/>
                <w:sz w:val="15"/>
                <w:szCs w:val="15"/>
              </w:rPr>
            </w:pPr>
            <w:r>
              <w:rPr>
                <w:rFonts w:ascii="Noto Sans" w:hAnsi="Noto Sans" w:cs="Noto Sans"/>
                <w:color w:val="000000"/>
                <w:sz w:val="15"/>
                <w:szCs w:val="15"/>
              </w:rPr>
              <w:t>12,581,633,890.9</w:t>
            </w:r>
          </w:p>
        </w:tc>
      </w:tr>
      <w:tr w:rsidR="00B14887" w:rsidRPr="00FC0913" w14:paraId="7AE47BD4" w14:textId="77777777" w:rsidTr="00A44903">
        <w:trPr>
          <w:trHeight w:val="283"/>
          <w:jc w:val="center"/>
        </w:trPr>
        <w:tc>
          <w:tcPr>
            <w:tcW w:w="5475" w:type="dxa"/>
            <w:tcBorders>
              <w:top w:val="nil"/>
              <w:left w:val="nil"/>
              <w:bottom w:val="nil"/>
              <w:right w:val="nil"/>
            </w:tcBorders>
            <w:shd w:val="clear" w:color="000000" w:fill="F2F2F2"/>
            <w:vAlign w:val="center"/>
          </w:tcPr>
          <w:p w14:paraId="22F59E88" w14:textId="4AFCB261" w:rsidR="00B14887" w:rsidRPr="004374D2" w:rsidRDefault="00B14887" w:rsidP="00B14887">
            <w:pPr>
              <w:spacing w:after="0" w:line="240" w:lineRule="exact"/>
              <w:rPr>
                <w:rFonts w:ascii="Noto Sans" w:hAnsi="Noto Sans" w:cs="Noto Sans"/>
                <w:sz w:val="15"/>
                <w:szCs w:val="15"/>
              </w:rPr>
            </w:pPr>
            <w:r>
              <w:rPr>
                <w:rFonts w:ascii="Noto Sans" w:hAnsi="Noto Sans" w:cs="Noto Sans"/>
                <w:color w:val="000000"/>
                <w:sz w:val="15"/>
                <w:szCs w:val="15"/>
              </w:rPr>
              <w:t>Crédito Mercantil</w:t>
            </w:r>
          </w:p>
        </w:tc>
        <w:tc>
          <w:tcPr>
            <w:tcW w:w="1960" w:type="dxa"/>
            <w:tcBorders>
              <w:top w:val="nil"/>
              <w:left w:val="nil"/>
              <w:bottom w:val="nil"/>
              <w:right w:val="nil"/>
            </w:tcBorders>
            <w:shd w:val="clear" w:color="000000" w:fill="F2F2F2"/>
            <w:vAlign w:val="center"/>
          </w:tcPr>
          <w:p w14:paraId="43CF9542" w14:textId="30710591" w:rsidR="00B14887" w:rsidRPr="003019E2" w:rsidRDefault="00B14887" w:rsidP="00B14887">
            <w:pPr>
              <w:spacing w:after="0" w:line="240" w:lineRule="exact"/>
              <w:jc w:val="right"/>
              <w:rPr>
                <w:rFonts w:ascii="Noto Sans" w:hAnsi="Noto Sans" w:cs="Noto Sans"/>
                <w:sz w:val="15"/>
                <w:szCs w:val="15"/>
              </w:rPr>
            </w:pPr>
            <w:r>
              <w:rPr>
                <w:rFonts w:ascii="Noto Sans" w:hAnsi="Noto Sans" w:cs="Noto Sans"/>
                <w:color w:val="000000"/>
                <w:sz w:val="15"/>
                <w:szCs w:val="15"/>
              </w:rPr>
              <w:t>1,854,750,786.7</w:t>
            </w:r>
          </w:p>
        </w:tc>
        <w:tc>
          <w:tcPr>
            <w:tcW w:w="1961" w:type="dxa"/>
            <w:tcBorders>
              <w:top w:val="nil"/>
              <w:left w:val="nil"/>
              <w:bottom w:val="nil"/>
              <w:right w:val="nil"/>
            </w:tcBorders>
            <w:shd w:val="clear" w:color="000000" w:fill="F2F2F2"/>
            <w:vAlign w:val="center"/>
          </w:tcPr>
          <w:p w14:paraId="0D9DD441" w14:textId="263837B4" w:rsidR="00B14887" w:rsidRPr="003019E2" w:rsidRDefault="00B14887" w:rsidP="00B14887">
            <w:pPr>
              <w:spacing w:after="0" w:line="240" w:lineRule="exact"/>
              <w:jc w:val="right"/>
              <w:rPr>
                <w:rFonts w:ascii="Noto Sans" w:hAnsi="Noto Sans" w:cs="Noto Sans"/>
                <w:sz w:val="15"/>
                <w:szCs w:val="15"/>
              </w:rPr>
            </w:pPr>
            <w:r>
              <w:rPr>
                <w:rFonts w:ascii="Noto Sans" w:hAnsi="Noto Sans" w:cs="Noto Sans"/>
                <w:color w:val="000000"/>
                <w:sz w:val="15"/>
                <w:szCs w:val="15"/>
              </w:rPr>
              <w:t>1,854,750,786.7</w:t>
            </w:r>
          </w:p>
        </w:tc>
      </w:tr>
      <w:tr w:rsidR="00B14887" w:rsidRPr="005946C5" w14:paraId="0ADFDEB0" w14:textId="77777777" w:rsidTr="00A44903">
        <w:trPr>
          <w:trHeight w:val="283"/>
          <w:jc w:val="center"/>
        </w:trPr>
        <w:tc>
          <w:tcPr>
            <w:tcW w:w="5475" w:type="dxa"/>
            <w:tcBorders>
              <w:top w:val="nil"/>
              <w:left w:val="nil"/>
              <w:bottom w:val="single" w:sz="12" w:space="0" w:color="A6802D"/>
              <w:right w:val="nil"/>
            </w:tcBorders>
            <w:shd w:val="clear" w:color="000000" w:fill="F2F2F2"/>
            <w:vAlign w:val="center"/>
          </w:tcPr>
          <w:p w14:paraId="2A6F7964" w14:textId="696D4F57" w:rsidR="00B14887" w:rsidRPr="006E1DA3" w:rsidRDefault="00B14887" w:rsidP="00B14887">
            <w:pPr>
              <w:spacing w:after="0" w:line="240" w:lineRule="exact"/>
              <w:rPr>
                <w:rFonts w:ascii="Montserrat" w:hAnsi="Montserrat"/>
                <w:b/>
                <w:sz w:val="15"/>
                <w:szCs w:val="15"/>
              </w:rPr>
            </w:pPr>
            <w:proofErr w:type="gramStart"/>
            <w:r>
              <w:rPr>
                <w:rFonts w:ascii="Montserrat" w:hAnsi="Montserrat"/>
                <w:b/>
                <w:bCs/>
                <w:color w:val="000000"/>
                <w:sz w:val="15"/>
                <w:szCs w:val="15"/>
              </w:rPr>
              <w:t>Total</w:t>
            </w:r>
            <w:proofErr w:type="gramEnd"/>
            <w:r>
              <w:rPr>
                <w:rFonts w:ascii="Montserrat" w:hAnsi="Montserrat"/>
                <w:b/>
                <w:bCs/>
                <w:color w:val="000000"/>
                <w:sz w:val="15"/>
                <w:szCs w:val="15"/>
              </w:rPr>
              <w:t xml:space="preserve"> Inversiones en Acciones</w:t>
            </w:r>
          </w:p>
        </w:tc>
        <w:tc>
          <w:tcPr>
            <w:tcW w:w="1960" w:type="dxa"/>
            <w:tcBorders>
              <w:top w:val="nil"/>
              <w:left w:val="nil"/>
              <w:bottom w:val="single" w:sz="12" w:space="0" w:color="A6802D"/>
              <w:right w:val="nil"/>
            </w:tcBorders>
            <w:shd w:val="clear" w:color="000000" w:fill="F2F2F2"/>
            <w:vAlign w:val="center"/>
          </w:tcPr>
          <w:p w14:paraId="1190B118" w14:textId="4B3E964B" w:rsidR="00B14887" w:rsidRPr="003019E2" w:rsidRDefault="00B14887" w:rsidP="00B14887">
            <w:pPr>
              <w:spacing w:after="0" w:line="240" w:lineRule="exact"/>
              <w:jc w:val="right"/>
              <w:rPr>
                <w:rFonts w:ascii="Noto Sans" w:hAnsi="Noto Sans" w:cs="Noto Sans"/>
                <w:b/>
                <w:bCs/>
                <w:sz w:val="15"/>
                <w:szCs w:val="15"/>
              </w:rPr>
            </w:pPr>
            <w:r>
              <w:rPr>
                <w:rFonts w:ascii="Noto Sans" w:hAnsi="Noto Sans" w:cs="Noto Sans"/>
                <w:b/>
                <w:bCs/>
                <w:color w:val="000000"/>
                <w:sz w:val="15"/>
                <w:szCs w:val="15"/>
              </w:rPr>
              <w:t>13,859,145,83</w:t>
            </w:r>
            <w:r w:rsidR="006E6E09">
              <w:rPr>
                <w:rFonts w:ascii="Noto Sans" w:hAnsi="Noto Sans" w:cs="Noto Sans"/>
                <w:b/>
                <w:bCs/>
                <w:color w:val="000000"/>
                <w:sz w:val="15"/>
                <w:szCs w:val="15"/>
              </w:rPr>
              <w:t>5.0</w:t>
            </w:r>
          </w:p>
        </w:tc>
        <w:tc>
          <w:tcPr>
            <w:tcW w:w="1961" w:type="dxa"/>
            <w:tcBorders>
              <w:top w:val="nil"/>
              <w:left w:val="nil"/>
              <w:bottom w:val="single" w:sz="12" w:space="0" w:color="A6802D"/>
              <w:right w:val="nil"/>
            </w:tcBorders>
            <w:shd w:val="clear" w:color="000000" w:fill="F2F2F2"/>
            <w:vAlign w:val="center"/>
          </w:tcPr>
          <w:p w14:paraId="76E6AF4C" w14:textId="4BA1B986" w:rsidR="00B14887" w:rsidRPr="003019E2" w:rsidRDefault="00B14887" w:rsidP="00B14887">
            <w:pPr>
              <w:spacing w:after="0" w:line="240" w:lineRule="exact"/>
              <w:jc w:val="right"/>
              <w:rPr>
                <w:rFonts w:ascii="Noto Sans" w:hAnsi="Noto Sans" w:cs="Noto Sans"/>
                <w:b/>
                <w:sz w:val="15"/>
                <w:szCs w:val="15"/>
              </w:rPr>
            </w:pPr>
            <w:r>
              <w:rPr>
                <w:rFonts w:ascii="Noto Sans" w:hAnsi="Noto Sans" w:cs="Noto Sans"/>
                <w:b/>
                <w:bCs/>
                <w:color w:val="000000"/>
                <w:sz w:val="15"/>
                <w:szCs w:val="15"/>
              </w:rPr>
              <w:t>14,436,384,677.6</w:t>
            </w:r>
          </w:p>
        </w:tc>
      </w:tr>
      <w:tr w:rsidR="00E24691" w:rsidRPr="00274555" w14:paraId="0C77E9E6" w14:textId="77777777" w:rsidTr="00DD31D5">
        <w:trPr>
          <w:trHeight w:val="226"/>
          <w:jc w:val="center"/>
        </w:trPr>
        <w:tc>
          <w:tcPr>
            <w:tcW w:w="5475" w:type="dxa"/>
            <w:tcBorders>
              <w:top w:val="single" w:sz="12" w:space="0" w:color="A6802D"/>
              <w:left w:val="nil"/>
              <w:right w:val="nil"/>
            </w:tcBorders>
            <w:vAlign w:val="center"/>
          </w:tcPr>
          <w:p w14:paraId="496EC4F4" w14:textId="77777777" w:rsidR="00E24691" w:rsidRPr="00274555" w:rsidRDefault="00E24691"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39869544" w14:textId="77777777" w:rsidR="00E24691" w:rsidRPr="00274555" w:rsidRDefault="00E24691"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B191642" w14:textId="77777777" w:rsidR="00E24691" w:rsidRPr="00274555" w:rsidRDefault="00E24691" w:rsidP="00DD31D5">
            <w:pPr>
              <w:spacing w:after="0" w:line="240" w:lineRule="auto"/>
              <w:jc w:val="both"/>
              <w:rPr>
                <w:rFonts w:ascii="Noto Sans" w:eastAsia="Times New Roman" w:hAnsi="Noto Sans" w:cs="Noto Sans"/>
                <w:b/>
                <w:bCs/>
                <w:color w:val="000000"/>
                <w:sz w:val="14"/>
                <w:szCs w:val="14"/>
                <w:lang w:eastAsia="es-MX"/>
              </w:rPr>
            </w:pPr>
          </w:p>
        </w:tc>
      </w:tr>
    </w:tbl>
    <w:p w14:paraId="6F54E336" w14:textId="77777777" w:rsidR="00B53D71" w:rsidRDefault="00B53D71" w:rsidP="00E24691">
      <w:pPr>
        <w:pStyle w:val="TEXTONORMAL"/>
        <w:tabs>
          <w:tab w:val="left" w:pos="2323"/>
        </w:tabs>
        <w:spacing w:line="240" w:lineRule="exact"/>
        <w:rPr>
          <w:rFonts w:cs="Noto Sans"/>
          <w:szCs w:val="18"/>
        </w:rPr>
      </w:pPr>
    </w:p>
    <w:p w14:paraId="269D7379" w14:textId="77777777" w:rsidR="00E24691" w:rsidRDefault="00E24691" w:rsidP="00E24691">
      <w:pPr>
        <w:pStyle w:val="TEXTONORMAL"/>
      </w:pPr>
      <w:r w:rsidRPr="00225CD0">
        <w:t>Participación en los Resultados de las Asociadas:</w:t>
      </w:r>
    </w:p>
    <w:p w14:paraId="0163AF52" w14:textId="77777777" w:rsidR="00E24691" w:rsidRPr="00225CD0" w:rsidRDefault="00E24691" w:rsidP="00E24691">
      <w:pPr>
        <w:pStyle w:val="TEXTONORMAL"/>
      </w:pPr>
    </w:p>
    <w:tbl>
      <w:tblPr>
        <w:tblW w:w="0" w:type="auto"/>
        <w:jc w:val="center"/>
        <w:tblCellMar>
          <w:left w:w="70" w:type="dxa"/>
          <w:right w:w="70" w:type="dxa"/>
        </w:tblCellMar>
        <w:tblLook w:val="0480" w:firstRow="0" w:lastRow="0" w:firstColumn="1" w:lastColumn="0" w:noHBand="0" w:noVBand="1"/>
      </w:tblPr>
      <w:tblGrid>
        <w:gridCol w:w="1701"/>
        <w:gridCol w:w="1701"/>
        <w:gridCol w:w="2835"/>
        <w:gridCol w:w="2835"/>
      </w:tblGrid>
      <w:tr w:rsidR="00E24691" w:rsidRPr="005946C5" w14:paraId="0C037B86" w14:textId="77777777" w:rsidTr="004374D2">
        <w:trPr>
          <w:trHeight w:val="83"/>
          <w:jc w:val="center"/>
        </w:trPr>
        <w:tc>
          <w:tcPr>
            <w:tcW w:w="1701"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68497F67" w14:textId="77777777" w:rsidR="00E24691" w:rsidRPr="008E629A" w:rsidRDefault="00E24691" w:rsidP="00E24691">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701" w:type="dxa"/>
            <w:vMerge w:val="restart"/>
            <w:tcBorders>
              <w:top w:val="double" w:sz="12" w:space="0" w:color="A6802D"/>
              <w:left w:val="nil"/>
              <w:right w:val="single" w:sz="12" w:space="0" w:color="FFFFFF" w:themeColor="background1"/>
            </w:tcBorders>
            <w:shd w:val="clear" w:color="auto" w:fill="A6802D"/>
            <w:vAlign w:val="center"/>
          </w:tcPr>
          <w:p w14:paraId="66A98F79" w14:textId="77777777" w:rsidR="00E24691" w:rsidRPr="008E629A" w:rsidRDefault="00E24691" w:rsidP="00E24691">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 en acciones</w:t>
            </w:r>
          </w:p>
        </w:tc>
        <w:tc>
          <w:tcPr>
            <w:tcW w:w="5670" w:type="dxa"/>
            <w:gridSpan w:val="2"/>
            <w:tcBorders>
              <w:top w:val="double" w:sz="12" w:space="0" w:color="A6802D"/>
              <w:left w:val="single" w:sz="12" w:space="0" w:color="FFFFFF" w:themeColor="background1"/>
              <w:bottom w:val="single" w:sz="12" w:space="0" w:color="FFFFFF"/>
            </w:tcBorders>
            <w:shd w:val="clear" w:color="auto" w:fill="A6802D"/>
            <w:vAlign w:val="center"/>
            <w:hideMark/>
          </w:tcPr>
          <w:p w14:paraId="11F20055" w14:textId="77777777" w:rsidR="00E24691" w:rsidRPr="008E629A" w:rsidRDefault="00E24691" w:rsidP="004374D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E24691" w:rsidRPr="005946C5" w14:paraId="7BF99217" w14:textId="77777777" w:rsidTr="004374D2">
        <w:trPr>
          <w:trHeight w:val="28"/>
          <w:jc w:val="center"/>
        </w:trPr>
        <w:tc>
          <w:tcPr>
            <w:tcW w:w="1701" w:type="dxa"/>
            <w:vMerge/>
            <w:tcBorders>
              <w:top w:val="single" w:sz="12" w:space="0" w:color="808080"/>
              <w:left w:val="nil"/>
              <w:bottom w:val="triple" w:sz="12" w:space="0" w:color="A6802D"/>
              <w:right w:val="single" w:sz="12" w:space="0" w:color="FFFFFF"/>
            </w:tcBorders>
            <w:shd w:val="clear" w:color="auto" w:fill="A6802D"/>
            <w:vAlign w:val="center"/>
            <w:hideMark/>
          </w:tcPr>
          <w:p w14:paraId="7CA67175"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p>
        </w:tc>
        <w:tc>
          <w:tcPr>
            <w:tcW w:w="1701" w:type="dxa"/>
            <w:vMerge/>
            <w:tcBorders>
              <w:left w:val="nil"/>
              <w:bottom w:val="triple" w:sz="12" w:space="0" w:color="A6802D"/>
              <w:right w:val="single" w:sz="12" w:space="0" w:color="FFFFFF" w:themeColor="background1"/>
            </w:tcBorders>
            <w:shd w:val="clear" w:color="auto" w:fill="A6802D"/>
          </w:tcPr>
          <w:p w14:paraId="185B9509" w14:textId="77777777" w:rsidR="00E24691" w:rsidRPr="008E629A" w:rsidRDefault="00E24691" w:rsidP="00DD31D5">
            <w:pPr>
              <w:spacing w:after="0" w:line="240" w:lineRule="exact"/>
              <w:jc w:val="center"/>
              <w:rPr>
                <w:rFonts w:ascii="Noto Sans" w:eastAsia="Times New Roman" w:hAnsi="Noto Sans" w:cs="Noto Sans"/>
                <w:b/>
                <w:bCs/>
                <w:color w:val="FFFFFF"/>
                <w:sz w:val="16"/>
                <w:szCs w:val="16"/>
                <w:lang w:eastAsia="es-MX"/>
              </w:rPr>
            </w:pPr>
          </w:p>
        </w:tc>
        <w:tc>
          <w:tcPr>
            <w:tcW w:w="2835" w:type="dxa"/>
            <w:tcBorders>
              <w:top w:val="nil"/>
              <w:left w:val="single" w:sz="12" w:space="0" w:color="FFFFFF" w:themeColor="background1"/>
              <w:bottom w:val="triple" w:sz="12" w:space="0" w:color="A6802D"/>
              <w:right w:val="single" w:sz="12" w:space="0" w:color="FFFFFF"/>
            </w:tcBorders>
            <w:shd w:val="clear" w:color="auto" w:fill="A6802D"/>
            <w:vAlign w:val="center"/>
          </w:tcPr>
          <w:p w14:paraId="0C7133BE" w14:textId="1C6B6B09" w:rsidR="00E24691" w:rsidRPr="008E629A" w:rsidRDefault="00E24691" w:rsidP="003019E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Participación en los resultados del ejercicio 202</w:t>
            </w:r>
            <w:r w:rsidR="003019E2">
              <w:rPr>
                <w:rFonts w:ascii="Noto Sans" w:eastAsia="Times New Roman" w:hAnsi="Noto Sans" w:cs="Noto Sans"/>
                <w:b/>
                <w:bCs/>
                <w:color w:val="FFFFFF"/>
                <w:sz w:val="16"/>
                <w:szCs w:val="16"/>
                <w:lang w:eastAsia="es-MX"/>
              </w:rPr>
              <w:t>5</w:t>
            </w:r>
          </w:p>
        </w:tc>
        <w:tc>
          <w:tcPr>
            <w:tcW w:w="2835" w:type="dxa"/>
            <w:tcBorders>
              <w:top w:val="nil"/>
              <w:left w:val="nil"/>
              <w:bottom w:val="triple" w:sz="12" w:space="0" w:color="A6802D"/>
            </w:tcBorders>
            <w:shd w:val="clear" w:color="auto" w:fill="A6802D"/>
            <w:vAlign w:val="center"/>
          </w:tcPr>
          <w:p w14:paraId="6DDABFB6" w14:textId="7BF6C6CD" w:rsidR="00E24691" w:rsidRPr="008E629A" w:rsidRDefault="00E24691" w:rsidP="003019E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Participación en los resultados del ejercicio </w:t>
            </w: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A765F0" w:rsidRPr="005946C5" w14:paraId="41AA107E" w14:textId="77777777" w:rsidTr="00A44903">
        <w:trPr>
          <w:trHeight w:val="283"/>
          <w:jc w:val="center"/>
        </w:trPr>
        <w:tc>
          <w:tcPr>
            <w:tcW w:w="1701" w:type="dxa"/>
            <w:tcBorders>
              <w:top w:val="nil"/>
              <w:left w:val="nil"/>
              <w:bottom w:val="single" w:sz="12" w:space="0" w:color="A6802D"/>
              <w:right w:val="nil"/>
            </w:tcBorders>
            <w:shd w:val="clear" w:color="000000" w:fill="F2F2F2"/>
            <w:vAlign w:val="center"/>
          </w:tcPr>
          <w:p w14:paraId="306668A1" w14:textId="77777777" w:rsidR="00A765F0" w:rsidRPr="004374D2" w:rsidRDefault="00A765F0" w:rsidP="00DD31D5">
            <w:pPr>
              <w:spacing w:after="0" w:line="240" w:lineRule="exact"/>
              <w:rPr>
                <w:rFonts w:ascii="Noto Sans" w:hAnsi="Noto Sans" w:cs="Noto Sans"/>
                <w:sz w:val="15"/>
                <w:szCs w:val="15"/>
              </w:rPr>
            </w:pPr>
            <w:r w:rsidRPr="004374D2">
              <w:rPr>
                <w:rFonts w:ascii="Noto Sans" w:hAnsi="Noto Sans" w:cs="Noto Sans"/>
                <w:sz w:val="15"/>
                <w:szCs w:val="15"/>
              </w:rPr>
              <w:t>Afore XXI Banorte</w:t>
            </w:r>
          </w:p>
        </w:tc>
        <w:tc>
          <w:tcPr>
            <w:tcW w:w="1701" w:type="dxa"/>
            <w:tcBorders>
              <w:top w:val="nil"/>
              <w:left w:val="nil"/>
              <w:bottom w:val="single" w:sz="12" w:space="0" w:color="A6802D"/>
              <w:right w:val="nil"/>
            </w:tcBorders>
            <w:shd w:val="clear" w:color="000000" w:fill="F2F2F2"/>
            <w:vAlign w:val="center"/>
          </w:tcPr>
          <w:p w14:paraId="63C8AE18" w14:textId="6BB48FD2" w:rsidR="00A765F0" w:rsidRPr="004374D2" w:rsidRDefault="00A765F0" w:rsidP="004374D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10,027,889</w:t>
            </w:r>
          </w:p>
        </w:tc>
        <w:tc>
          <w:tcPr>
            <w:tcW w:w="2835" w:type="dxa"/>
            <w:tcBorders>
              <w:top w:val="nil"/>
              <w:left w:val="nil"/>
              <w:bottom w:val="single" w:sz="12" w:space="0" w:color="A6802D"/>
              <w:right w:val="nil"/>
            </w:tcBorders>
            <w:shd w:val="clear" w:color="000000" w:fill="F2F2F2"/>
            <w:vAlign w:val="center"/>
          </w:tcPr>
          <w:p w14:paraId="24CBC51C" w14:textId="00523921" w:rsidR="00A765F0" w:rsidRPr="004374D2" w:rsidRDefault="009A2A69" w:rsidP="004374D2">
            <w:pPr>
              <w:spacing w:after="0" w:line="240" w:lineRule="auto"/>
              <w:jc w:val="right"/>
              <w:rPr>
                <w:rFonts w:ascii="Noto Sans" w:eastAsia="Times New Roman" w:hAnsi="Noto Sans" w:cs="Noto Sans"/>
                <w:b/>
                <w:color w:val="000000"/>
                <w:sz w:val="15"/>
                <w:szCs w:val="15"/>
                <w:lang w:eastAsia="es-MX"/>
              </w:rPr>
            </w:pPr>
            <w:r>
              <w:rPr>
                <w:rFonts w:ascii="Noto Sans" w:hAnsi="Noto Sans" w:cs="Noto Sans"/>
                <w:color w:val="000000"/>
                <w:sz w:val="15"/>
                <w:szCs w:val="15"/>
              </w:rPr>
              <w:t>683,119,685.5</w:t>
            </w:r>
          </w:p>
        </w:tc>
        <w:tc>
          <w:tcPr>
            <w:tcW w:w="2835" w:type="dxa"/>
            <w:tcBorders>
              <w:top w:val="nil"/>
              <w:left w:val="nil"/>
              <w:bottom w:val="single" w:sz="12" w:space="0" w:color="A6802D"/>
              <w:right w:val="nil"/>
            </w:tcBorders>
            <w:shd w:val="clear" w:color="000000" w:fill="F2F2F2"/>
            <w:vAlign w:val="center"/>
          </w:tcPr>
          <w:p w14:paraId="38557659" w14:textId="0BD8825A" w:rsidR="00A765F0" w:rsidRPr="004374D2" w:rsidRDefault="00A765F0" w:rsidP="004374D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color w:val="000000"/>
                <w:sz w:val="15"/>
                <w:szCs w:val="15"/>
              </w:rPr>
              <w:t>1,314,561,703.4</w:t>
            </w:r>
          </w:p>
        </w:tc>
      </w:tr>
      <w:tr w:rsidR="00E24691" w:rsidRPr="00274555" w14:paraId="3A2AFC08" w14:textId="77777777" w:rsidTr="004374D2">
        <w:trPr>
          <w:trHeight w:val="226"/>
          <w:jc w:val="center"/>
        </w:trPr>
        <w:tc>
          <w:tcPr>
            <w:tcW w:w="9072" w:type="dxa"/>
            <w:gridSpan w:val="4"/>
            <w:tcBorders>
              <w:top w:val="single" w:sz="12" w:space="0" w:color="A6802D"/>
              <w:left w:val="nil"/>
            </w:tcBorders>
            <w:vAlign w:val="center"/>
          </w:tcPr>
          <w:p w14:paraId="34479BA6" w14:textId="77777777" w:rsidR="00E24691" w:rsidRPr="00274555" w:rsidRDefault="00E24691"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1E1398BF" w14:textId="77777777" w:rsidR="00E24691" w:rsidRDefault="00E24691" w:rsidP="00E24691">
      <w:pPr>
        <w:pStyle w:val="TEXTONORMAL"/>
        <w:tabs>
          <w:tab w:val="left" w:pos="2323"/>
        </w:tabs>
        <w:spacing w:line="240" w:lineRule="exact"/>
        <w:rPr>
          <w:rFonts w:cs="Noto Sans"/>
          <w:szCs w:val="18"/>
        </w:rPr>
      </w:pPr>
    </w:p>
    <w:p w14:paraId="70D7A90E" w14:textId="49C8C319" w:rsidR="004374D2" w:rsidRPr="003927F5" w:rsidRDefault="00D8459F" w:rsidP="004374D2">
      <w:pPr>
        <w:pStyle w:val="TEXTONORMAL"/>
      </w:pPr>
      <w:r>
        <w:rPr>
          <w:rFonts w:cs="Noto Sans"/>
          <w:szCs w:val="18"/>
        </w:rPr>
        <w:t>A</w:t>
      </w:r>
      <w:r w:rsidRPr="000F4D76">
        <w:rPr>
          <w:rFonts w:cs="Noto Sans"/>
          <w:szCs w:val="18"/>
        </w:rPr>
        <w:t xml:space="preserve">l </w:t>
      </w:r>
      <w:r w:rsidR="00CF648D" w:rsidRPr="002B3F78">
        <w:rPr>
          <w:rFonts w:cs="Noto Sans"/>
          <w:szCs w:val="18"/>
        </w:rPr>
        <w:t>3</w:t>
      </w:r>
      <w:r w:rsidR="00CF648D">
        <w:rPr>
          <w:rFonts w:cs="Noto Sans"/>
          <w:szCs w:val="18"/>
        </w:rPr>
        <w:t>0</w:t>
      </w:r>
      <w:r w:rsidR="00CF648D" w:rsidRPr="002B3F78">
        <w:rPr>
          <w:rFonts w:cs="Noto Sans"/>
          <w:szCs w:val="18"/>
        </w:rPr>
        <w:t xml:space="preserve"> de </w:t>
      </w:r>
      <w:r w:rsidR="00CF648D">
        <w:rPr>
          <w:rFonts w:cs="Noto Sans"/>
          <w:szCs w:val="18"/>
        </w:rPr>
        <w:t>junio</w:t>
      </w:r>
      <w:r w:rsidR="00CF648D" w:rsidRPr="002B3F78">
        <w:rPr>
          <w:rFonts w:cs="Noto Sans"/>
          <w:szCs w:val="18"/>
        </w:rPr>
        <w:t xml:space="preserve"> </w:t>
      </w:r>
      <w:r w:rsidRPr="000F4D76">
        <w:rPr>
          <w:rFonts w:cs="Noto Sans"/>
          <w:szCs w:val="18"/>
        </w:rPr>
        <w:t>de 2025 y</w:t>
      </w:r>
      <w:r w:rsidR="004374D2" w:rsidRPr="003927F5">
        <w:t xml:space="preserve"> 31 de diciembre de 2024, la inversión en acciones se compone de la participación que el Instituto mantiene en el capital de la Afore XXI Banorte, correspondiente a 10,027,889</w:t>
      </w:r>
      <w:r w:rsidR="006557E2">
        <w:t xml:space="preserve"> </w:t>
      </w:r>
      <w:r w:rsidR="004374D2" w:rsidRPr="003927F5">
        <w:t xml:space="preserve">acciones en ambos periodos, con valor nominal de mil pesos cada una, cuya principal actividad es la de administrar las cuentas de ahorro para el retiro. </w:t>
      </w:r>
    </w:p>
    <w:p w14:paraId="1C7D7DD7" w14:textId="5FB8C7F5" w:rsidR="004374D2" w:rsidRDefault="004374D2" w:rsidP="004374D2">
      <w:pPr>
        <w:pStyle w:val="TEXTONORMAL"/>
      </w:pPr>
      <w:r w:rsidRPr="00466563">
        <w:t>A continuación, se presenta la integración de las acciones en Afore XXI Banorte, S.A. de C.V. por clase y serie</w:t>
      </w:r>
      <w:r>
        <w:t xml:space="preserve"> para </w:t>
      </w:r>
      <w:r w:rsidR="00D8459F">
        <w:t>lo que va d</w:t>
      </w:r>
      <w:r>
        <w:t xml:space="preserve">el ejercicio </w:t>
      </w:r>
      <w:r w:rsidRPr="00A92E95">
        <w:t>202</w:t>
      </w:r>
      <w:r w:rsidR="00D8459F">
        <w:t>5</w:t>
      </w:r>
      <w:r w:rsidRPr="00A92E95">
        <w:t xml:space="preserve"> </w:t>
      </w:r>
      <w:r>
        <w:t>igual que para</w:t>
      </w:r>
      <w:r w:rsidRPr="00A92E95">
        <w:t xml:space="preserve"> 202</w:t>
      </w:r>
      <w:r w:rsidR="00D8459F">
        <w:t>4</w:t>
      </w:r>
      <w:r w:rsidRPr="00466563">
        <w:t>:</w:t>
      </w:r>
    </w:p>
    <w:p w14:paraId="15516F69" w14:textId="77777777" w:rsidR="00253FAD" w:rsidRDefault="00253FAD" w:rsidP="004374D2">
      <w:pPr>
        <w:pStyle w:val="TEXTONORMAL"/>
      </w:pPr>
    </w:p>
    <w:tbl>
      <w:tblPr>
        <w:tblW w:w="0" w:type="auto"/>
        <w:jc w:val="center"/>
        <w:tblCellMar>
          <w:left w:w="70" w:type="dxa"/>
          <w:right w:w="70" w:type="dxa"/>
        </w:tblCellMar>
        <w:tblLook w:val="0480" w:firstRow="0" w:lastRow="0" w:firstColumn="1" w:lastColumn="0" w:noHBand="0" w:noVBand="1"/>
      </w:tblPr>
      <w:tblGrid>
        <w:gridCol w:w="2494"/>
        <w:gridCol w:w="1531"/>
        <w:gridCol w:w="1531"/>
        <w:gridCol w:w="1531"/>
        <w:gridCol w:w="1960"/>
        <w:gridCol w:w="24"/>
      </w:tblGrid>
      <w:tr w:rsidR="004374D2" w:rsidRPr="005946C5" w14:paraId="40A8CBC8" w14:textId="77777777" w:rsidTr="004374D2">
        <w:trPr>
          <w:gridAfter w:val="1"/>
          <w:wAfter w:w="24" w:type="dxa"/>
          <w:trHeight w:val="57"/>
          <w:jc w:val="center"/>
        </w:trPr>
        <w:tc>
          <w:tcPr>
            <w:tcW w:w="2494" w:type="dxa"/>
            <w:tcBorders>
              <w:top w:val="thinThickSmallGap" w:sz="12" w:space="0" w:color="A6802D"/>
              <w:left w:val="nil"/>
              <w:bottom w:val="triple" w:sz="12" w:space="0" w:color="A6802D"/>
              <w:right w:val="single" w:sz="12" w:space="0" w:color="FFFFFF"/>
            </w:tcBorders>
            <w:shd w:val="clear" w:color="auto" w:fill="A6802D"/>
            <w:vAlign w:val="center"/>
            <w:hideMark/>
          </w:tcPr>
          <w:p w14:paraId="702BBB80"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531" w:type="dxa"/>
            <w:tcBorders>
              <w:top w:val="thinThickSmallGap" w:sz="12" w:space="0" w:color="A6802D"/>
              <w:left w:val="nil"/>
              <w:bottom w:val="triple" w:sz="12" w:space="0" w:color="A6802D"/>
              <w:right w:val="single" w:sz="12" w:space="0" w:color="FFFFFF" w:themeColor="background1"/>
            </w:tcBorders>
            <w:shd w:val="clear" w:color="auto" w:fill="A6802D"/>
            <w:vAlign w:val="center"/>
          </w:tcPr>
          <w:p w14:paraId="58C50BB8" w14:textId="77777777" w:rsidR="004374D2"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Clase I</w:t>
            </w:r>
          </w:p>
          <w:p w14:paraId="1A5F732E"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Serie A</w:t>
            </w:r>
          </w:p>
        </w:tc>
        <w:tc>
          <w:tcPr>
            <w:tcW w:w="1531" w:type="dxa"/>
            <w:tcBorders>
              <w:top w:val="thinThickSmallGap" w:sz="12"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5AD25D50" w14:textId="77777777" w:rsidR="004374D2"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Clase II</w:t>
            </w:r>
          </w:p>
          <w:p w14:paraId="5352A957"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Serie A</w:t>
            </w:r>
          </w:p>
        </w:tc>
        <w:tc>
          <w:tcPr>
            <w:tcW w:w="1531" w:type="dxa"/>
            <w:tcBorders>
              <w:top w:val="thinThickSmallGap" w:sz="12" w:space="0" w:color="A6802D"/>
              <w:left w:val="single" w:sz="12" w:space="0" w:color="FFFFFF" w:themeColor="background1"/>
              <w:bottom w:val="triple" w:sz="12" w:space="0" w:color="A6802D"/>
              <w:right w:val="single" w:sz="12" w:space="0" w:color="FFFFFF" w:themeColor="background1"/>
            </w:tcBorders>
            <w:shd w:val="clear" w:color="auto" w:fill="A6802D"/>
            <w:vAlign w:val="center"/>
          </w:tcPr>
          <w:p w14:paraId="2537624C" w14:textId="77777777" w:rsidR="004374D2"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Clase III</w:t>
            </w:r>
          </w:p>
          <w:p w14:paraId="58C2C278"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Serie A</w:t>
            </w:r>
          </w:p>
        </w:tc>
        <w:tc>
          <w:tcPr>
            <w:tcW w:w="1960" w:type="dxa"/>
            <w:tcBorders>
              <w:top w:val="thinThickSmallGap" w:sz="12" w:space="0" w:color="A6802D"/>
              <w:left w:val="single" w:sz="12" w:space="0" w:color="FFFFFF" w:themeColor="background1"/>
              <w:bottom w:val="triple" w:sz="12" w:space="0" w:color="A6802D"/>
            </w:tcBorders>
            <w:shd w:val="clear" w:color="auto" w:fill="A6802D"/>
            <w:vAlign w:val="center"/>
          </w:tcPr>
          <w:p w14:paraId="42AB4CA9" w14:textId="77777777" w:rsidR="004374D2" w:rsidRPr="008E629A" w:rsidRDefault="004374D2" w:rsidP="004374D2">
            <w:pPr>
              <w:spacing w:after="0" w:line="240" w:lineRule="exact"/>
              <w:jc w:val="center"/>
              <w:rPr>
                <w:rFonts w:ascii="Noto Sans" w:eastAsia="Times New Roman" w:hAnsi="Noto Sans" w:cs="Noto Sans"/>
                <w:b/>
                <w:bCs/>
                <w:color w:val="FFFFFF"/>
                <w:sz w:val="16"/>
                <w:szCs w:val="16"/>
                <w:lang w:eastAsia="es-MX"/>
              </w:rPr>
            </w:pPr>
            <w:proofErr w:type="gramStart"/>
            <w:r>
              <w:rPr>
                <w:rFonts w:ascii="Noto Sans" w:eastAsia="Times New Roman" w:hAnsi="Noto Sans" w:cs="Noto Sans"/>
                <w:b/>
                <w:bCs/>
                <w:color w:val="FFFFFF"/>
                <w:sz w:val="16"/>
                <w:szCs w:val="16"/>
                <w:lang w:eastAsia="es-MX"/>
              </w:rPr>
              <w:t>Total</w:t>
            </w:r>
            <w:proofErr w:type="gramEnd"/>
            <w:r>
              <w:rPr>
                <w:rFonts w:ascii="Noto Sans" w:eastAsia="Times New Roman" w:hAnsi="Noto Sans" w:cs="Noto Sans"/>
                <w:b/>
                <w:bCs/>
                <w:color w:val="FFFFFF"/>
                <w:sz w:val="16"/>
                <w:szCs w:val="16"/>
                <w:lang w:eastAsia="es-MX"/>
              </w:rPr>
              <w:t xml:space="preserve"> de acciones</w:t>
            </w:r>
          </w:p>
        </w:tc>
      </w:tr>
      <w:tr w:rsidR="00A765F0" w:rsidRPr="005946C5" w14:paraId="54BCF45B" w14:textId="77777777" w:rsidTr="00F43CF8">
        <w:trPr>
          <w:gridAfter w:val="1"/>
          <w:wAfter w:w="24" w:type="dxa"/>
          <w:trHeight w:val="283"/>
          <w:jc w:val="center"/>
        </w:trPr>
        <w:tc>
          <w:tcPr>
            <w:tcW w:w="2494" w:type="dxa"/>
            <w:tcBorders>
              <w:top w:val="nil"/>
              <w:left w:val="nil"/>
              <w:bottom w:val="single" w:sz="12" w:space="0" w:color="A6802D"/>
              <w:right w:val="nil"/>
            </w:tcBorders>
            <w:shd w:val="clear" w:color="000000" w:fill="F2F2F2"/>
            <w:vAlign w:val="center"/>
          </w:tcPr>
          <w:p w14:paraId="269E9013" w14:textId="77777777" w:rsidR="00A765F0" w:rsidRPr="004374D2" w:rsidRDefault="00A765F0" w:rsidP="004374D2">
            <w:pPr>
              <w:spacing w:after="0" w:line="240" w:lineRule="exact"/>
              <w:rPr>
                <w:rFonts w:ascii="Noto Sans" w:hAnsi="Noto Sans" w:cs="Noto Sans"/>
                <w:sz w:val="15"/>
                <w:szCs w:val="15"/>
              </w:rPr>
            </w:pPr>
            <w:r w:rsidRPr="004374D2">
              <w:rPr>
                <w:rFonts w:ascii="Noto Sans" w:hAnsi="Noto Sans" w:cs="Noto Sans"/>
                <w:sz w:val="15"/>
                <w:szCs w:val="15"/>
              </w:rPr>
              <w:t>Afore XXI Banorte</w:t>
            </w:r>
          </w:p>
        </w:tc>
        <w:tc>
          <w:tcPr>
            <w:tcW w:w="1531" w:type="dxa"/>
            <w:tcBorders>
              <w:top w:val="nil"/>
              <w:left w:val="nil"/>
              <w:bottom w:val="single" w:sz="12" w:space="0" w:color="A6802D"/>
              <w:right w:val="nil"/>
            </w:tcBorders>
            <w:shd w:val="clear" w:color="000000" w:fill="F2F2F2"/>
            <w:vAlign w:val="center"/>
          </w:tcPr>
          <w:p w14:paraId="2C09E944" w14:textId="4835854D"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12,500</w:t>
            </w:r>
          </w:p>
        </w:tc>
        <w:tc>
          <w:tcPr>
            <w:tcW w:w="1531" w:type="dxa"/>
            <w:tcBorders>
              <w:top w:val="nil"/>
              <w:left w:val="nil"/>
              <w:bottom w:val="single" w:sz="12" w:space="0" w:color="A6802D"/>
              <w:right w:val="nil"/>
            </w:tcBorders>
            <w:shd w:val="clear" w:color="000000" w:fill="F2F2F2"/>
            <w:vAlign w:val="center"/>
          </w:tcPr>
          <w:p w14:paraId="1346B0AB" w14:textId="035A90F1"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10,015,139</w:t>
            </w:r>
          </w:p>
        </w:tc>
        <w:tc>
          <w:tcPr>
            <w:tcW w:w="1531" w:type="dxa"/>
            <w:tcBorders>
              <w:top w:val="nil"/>
              <w:left w:val="nil"/>
              <w:bottom w:val="single" w:sz="12" w:space="0" w:color="A6802D"/>
              <w:right w:val="nil"/>
            </w:tcBorders>
            <w:shd w:val="clear" w:color="000000" w:fill="F2F2F2"/>
            <w:vAlign w:val="center"/>
          </w:tcPr>
          <w:p w14:paraId="19F4573B" w14:textId="2BD5BD36"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250</w:t>
            </w:r>
          </w:p>
        </w:tc>
        <w:tc>
          <w:tcPr>
            <w:tcW w:w="1960" w:type="dxa"/>
            <w:tcBorders>
              <w:top w:val="nil"/>
              <w:left w:val="nil"/>
              <w:bottom w:val="single" w:sz="12" w:space="0" w:color="A6802D"/>
              <w:right w:val="nil"/>
            </w:tcBorders>
            <w:shd w:val="clear" w:color="000000" w:fill="F2F2F2"/>
            <w:vAlign w:val="center"/>
          </w:tcPr>
          <w:p w14:paraId="4DC3345F" w14:textId="483C07C7" w:rsidR="00A765F0" w:rsidRPr="004374D2" w:rsidRDefault="00A765F0" w:rsidP="004374D2">
            <w:pPr>
              <w:spacing w:after="0" w:line="240" w:lineRule="exact"/>
              <w:jc w:val="right"/>
              <w:rPr>
                <w:rFonts w:ascii="Noto Sans" w:hAnsi="Noto Sans" w:cs="Noto Sans"/>
                <w:b/>
                <w:sz w:val="15"/>
                <w:szCs w:val="15"/>
              </w:rPr>
            </w:pPr>
            <w:r>
              <w:rPr>
                <w:rFonts w:ascii="Noto Sans" w:hAnsi="Noto Sans" w:cs="Noto Sans"/>
                <w:color w:val="000000"/>
                <w:sz w:val="15"/>
                <w:szCs w:val="15"/>
              </w:rPr>
              <w:t>10,027,889</w:t>
            </w:r>
          </w:p>
        </w:tc>
      </w:tr>
      <w:tr w:rsidR="004374D2" w:rsidRPr="005946C5" w14:paraId="782E7848" w14:textId="77777777" w:rsidTr="004374D2">
        <w:trPr>
          <w:trHeight w:val="226"/>
          <w:jc w:val="center"/>
        </w:trPr>
        <w:tc>
          <w:tcPr>
            <w:tcW w:w="9071" w:type="dxa"/>
            <w:gridSpan w:val="6"/>
            <w:tcBorders>
              <w:top w:val="nil"/>
              <w:left w:val="nil"/>
              <w:bottom w:val="nil"/>
            </w:tcBorders>
            <w:vAlign w:val="center"/>
          </w:tcPr>
          <w:p w14:paraId="6FF72AB6" w14:textId="77777777" w:rsidR="004374D2" w:rsidRPr="004374D2" w:rsidRDefault="004374D2" w:rsidP="004374D2">
            <w:pPr>
              <w:spacing w:after="0" w:line="240" w:lineRule="auto"/>
              <w:rPr>
                <w:rFonts w:ascii="Noto Sans" w:eastAsia="Times New Roman" w:hAnsi="Noto Sans" w:cs="Noto Sans"/>
                <w:color w:val="000000"/>
                <w:sz w:val="15"/>
                <w:szCs w:val="15"/>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29C95F37" w14:textId="77777777" w:rsidR="00253FAD" w:rsidRDefault="00253FAD" w:rsidP="00173215">
      <w:pPr>
        <w:pStyle w:val="TEXTONORMAL"/>
      </w:pPr>
    </w:p>
    <w:p w14:paraId="008ADB11" w14:textId="3B885B9F" w:rsidR="007574CD" w:rsidRDefault="007574CD" w:rsidP="007574CD">
      <w:pPr>
        <w:pStyle w:val="TEXTONORMAL"/>
        <w:rPr>
          <w:sz w:val="20"/>
          <w:szCs w:val="20"/>
        </w:rPr>
      </w:pPr>
      <w:r w:rsidRPr="003927F5">
        <w:lastRenderedPageBreak/>
        <w:t xml:space="preserve">La Asamblea General Ordinaria de Accionistas de Afore XXI Banorte, S.A. de C.V., acordó pagar dividendos a sus accionistas </w:t>
      </w:r>
      <w:r w:rsidRPr="00875ED3">
        <w:t>el</w:t>
      </w:r>
      <w:r>
        <w:t xml:space="preserve"> 31 de marzo de 2025 y el</w:t>
      </w:r>
      <w:r w:rsidRPr="00875ED3">
        <w:t xml:space="preserve"> 27 de marzo de 2024 por</w:t>
      </w:r>
      <w:r>
        <w:t xml:space="preserve"> 2,520,717,056.2 pesos y </w:t>
      </w:r>
      <w:r w:rsidRPr="00875ED3">
        <w:t>2,332,127,694.5 pesos</w:t>
      </w:r>
      <w:r>
        <w:t>, respectivamente</w:t>
      </w:r>
      <w:r w:rsidRPr="00875ED3">
        <w:t>. El Instituto recibió el equivalente al 50%, el cual fue de 1,</w:t>
      </w:r>
      <w:r>
        <w:t>2</w:t>
      </w:r>
      <w:r w:rsidRPr="00875ED3">
        <w:t>6</w:t>
      </w:r>
      <w:r>
        <w:t>0</w:t>
      </w:r>
      <w:r w:rsidRPr="00875ED3">
        <w:t>,</w:t>
      </w:r>
      <w:r>
        <w:t>358</w:t>
      </w:r>
      <w:r w:rsidRPr="00875ED3">
        <w:t>,</w:t>
      </w:r>
      <w:r>
        <w:t>528</w:t>
      </w:r>
      <w:r w:rsidRPr="00875ED3">
        <w:t>.</w:t>
      </w:r>
      <w:r>
        <w:t>1</w:t>
      </w:r>
      <w:r w:rsidRPr="00875ED3">
        <w:t xml:space="preserve"> pesos</w:t>
      </w:r>
      <w:r w:rsidRPr="003927F5">
        <w:t xml:space="preserve"> y </w:t>
      </w:r>
      <w:r w:rsidRPr="00875ED3">
        <w:t xml:space="preserve">1,166,063,847.3 </w:t>
      </w:r>
      <w:r w:rsidRPr="003927F5">
        <w:t>pesos</w:t>
      </w:r>
      <w:r w:rsidRPr="005D0AAE">
        <w:t>, respectivamente.</w:t>
      </w:r>
    </w:p>
    <w:p w14:paraId="69AA3392" w14:textId="77777777" w:rsidR="00253FAD" w:rsidRDefault="00253FAD" w:rsidP="00173215">
      <w:pPr>
        <w:pStyle w:val="TEXTONORMAL"/>
        <w:rPr>
          <w:sz w:val="20"/>
          <w:szCs w:val="20"/>
        </w:rPr>
      </w:pPr>
    </w:p>
    <w:p w14:paraId="418948C6" w14:textId="04561784" w:rsidR="00173215" w:rsidRDefault="00253FAD" w:rsidP="00ED1D2E">
      <w:pPr>
        <w:pStyle w:val="TEXTONORMAL"/>
        <w:numPr>
          <w:ilvl w:val="0"/>
          <w:numId w:val="15"/>
        </w:numPr>
        <w:tabs>
          <w:tab w:val="left" w:pos="2323"/>
        </w:tabs>
        <w:ind w:left="714" w:hanging="357"/>
        <w:rPr>
          <w:rFonts w:cs="Noto Sans"/>
          <w:szCs w:val="18"/>
        </w:rPr>
      </w:pPr>
      <w:r>
        <w:rPr>
          <w:rFonts w:cs="Noto Sans"/>
          <w:szCs w:val="18"/>
        </w:rPr>
        <w:t>3</w:t>
      </w:r>
      <w:r w:rsidR="00173215">
        <w:rPr>
          <w:rFonts w:cs="Noto Sans"/>
          <w:szCs w:val="18"/>
        </w:rPr>
        <w:t xml:space="preserve">.7.c) </w:t>
      </w:r>
      <w:r w:rsidR="004C72F3">
        <w:rPr>
          <w:rFonts w:cs="Noto Sans"/>
          <w:szCs w:val="18"/>
        </w:rPr>
        <w:t>A</w:t>
      </w:r>
      <w:r w:rsidR="004C72F3" w:rsidRPr="000F4D76">
        <w:rPr>
          <w:rFonts w:cs="Noto Sans"/>
          <w:szCs w:val="18"/>
        </w:rPr>
        <w:t xml:space="preserve">l </w:t>
      </w:r>
      <w:r w:rsidR="006B0179" w:rsidRPr="002B3F78">
        <w:rPr>
          <w:rFonts w:cs="Noto Sans"/>
          <w:szCs w:val="18"/>
        </w:rPr>
        <w:t>3</w:t>
      </w:r>
      <w:r w:rsidR="006B0179">
        <w:rPr>
          <w:rFonts w:cs="Noto Sans"/>
          <w:szCs w:val="18"/>
        </w:rPr>
        <w:t>0</w:t>
      </w:r>
      <w:r w:rsidR="006B0179" w:rsidRPr="002B3F78">
        <w:rPr>
          <w:rFonts w:cs="Noto Sans"/>
          <w:szCs w:val="18"/>
        </w:rPr>
        <w:t xml:space="preserve"> de </w:t>
      </w:r>
      <w:r w:rsidR="006B0179">
        <w:rPr>
          <w:rFonts w:cs="Noto Sans"/>
          <w:szCs w:val="18"/>
        </w:rPr>
        <w:t>junio</w:t>
      </w:r>
      <w:r w:rsidR="006B0179" w:rsidRPr="002B3F78">
        <w:rPr>
          <w:rFonts w:cs="Noto Sans"/>
          <w:szCs w:val="18"/>
        </w:rPr>
        <w:t xml:space="preserve"> </w:t>
      </w:r>
      <w:r w:rsidR="004C72F3" w:rsidRPr="000F4D76">
        <w:rPr>
          <w:rFonts w:cs="Noto Sans"/>
          <w:szCs w:val="18"/>
        </w:rPr>
        <w:t>de 2025 y 31 de diciembre de 2024</w:t>
      </w:r>
      <w:r w:rsidR="00173215">
        <w:t>, los F</w:t>
      </w:r>
      <w:r w:rsidR="00173215" w:rsidRPr="007902E9">
        <w:t xml:space="preserve">ideicomisos, </w:t>
      </w:r>
      <w:r w:rsidR="00173215">
        <w:t>Mandatos y C</w:t>
      </w:r>
      <w:r w:rsidR="00173215" w:rsidRPr="007902E9">
        <w:t xml:space="preserve">ontratos </w:t>
      </w:r>
      <w:r w:rsidR="00173215">
        <w:t>A</w:t>
      </w:r>
      <w:r w:rsidR="00173215" w:rsidRPr="007902E9">
        <w:t>nálogos se integran de la siguiente manera:</w:t>
      </w:r>
    </w:p>
    <w:p w14:paraId="4AB99A83" w14:textId="77777777" w:rsidR="00173215" w:rsidRPr="00173215" w:rsidRDefault="00173215" w:rsidP="00173215">
      <w:pPr>
        <w:pStyle w:val="TEXTONORMAL"/>
        <w:tabs>
          <w:tab w:val="left" w:pos="2323"/>
        </w:tabs>
        <w:rPr>
          <w:rFonts w:cs="Noto Sans"/>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173215" w:rsidRPr="005946C5" w14:paraId="01520457"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D697179" w14:textId="77777777" w:rsidR="00173215" w:rsidRPr="008E629A" w:rsidRDefault="00173215"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1331FA6" w14:textId="77777777" w:rsidR="00173215" w:rsidRPr="008E629A" w:rsidRDefault="00173215"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173215" w:rsidRPr="005946C5" w14:paraId="5E466C8A"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27D39B3" w14:textId="77777777" w:rsidR="00173215" w:rsidRPr="008E629A" w:rsidRDefault="00173215"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91B556E" w14:textId="36D0F4CC" w:rsidR="00173215" w:rsidRPr="008E629A" w:rsidRDefault="00173215"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08A93442" w14:textId="45157A12" w:rsidR="00173215" w:rsidRPr="008E629A" w:rsidRDefault="00173215"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A905C4" w:rsidRPr="005946C5" w14:paraId="550359F8" w14:textId="77777777" w:rsidTr="00253FAD">
        <w:trPr>
          <w:trHeight w:val="283"/>
          <w:jc w:val="center"/>
        </w:trPr>
        <w:tc>
          <w:tcPr>
            <w:tcW w:w="5475" w:type="dxa"/>
            <w:tcBorders>
              <w:top w:val="triple" w:sz="12" w:space="0" w:color="A6802D"/>
              <w:left w:val="nil"/>
              <w:bottom w:val="nil"/>
              <w:right w:val="nil"/>
            </w:tcBorders>
            <w:shd w:val="clear" w:color="000000" w:fill="F2F2F2"/>
            <w:vAlign w:val="center"/>
          </w:tcPr>
          <w:p w14:paraId="4EBEDC8C" w14:textId="6E651C72" w:rsidR="00A905C4" w:rsidRPr="00253FAD" w:rsidRDefault="00A905C4" w:rsidP="00A905C4">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 de Beneficios Sociales </w:t>
            </w:r>
            <w:r>
              <w:rPr>
                <w:rFonts w:ascii="Noto Sans" w:hAnsi="Noto Sans" w:cs="Noto Sans"/>
                <w:b/>
                <w:bCs/>
                <w:color w:val="000000"/>
                <w:sz w:val="15"/>
                <w:szCs w:val="15"/>
              </w:rPr>
              <w:t>(3.7.c.1)</w:t>
            </w:r>
          </w:p>
        </w:tc>
        <w:tc>
          <w:tcPr>
            <w:tcW w:w="1960" w:type="dxa"/>
            <w:tcBorders>
              <w:top w:val="triple" w:sz="12" w:space="0" w:color="A6802D"/>
              <w:left w:val="nil"/>
              <w:bottom w:val="nil"/>
              <w:right w:val="nil"/>
            </w:tcBorders>
            <w:shd w:val="clear" w:color="000000" w:fill="F2F2F2"/>
            <w:vAlign w:val="center"/>
          </w:tcPr>
          <w:p w14:paraId="0B1FCEB7" w14:textId="738560BC"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671,676,908.0</w:t>
            </w:r>
          </w:p>
        </w:tc>
        <w:tc>
          <w:tcPr>
            <w:tcW w:w="1961" w:type="dxa"/>
            <w:tcBorders>
              <w:top w:val="triple" w:sz="12" w:space="0" w:color="A6802D"/>
              <w:left w:val="nil"/>
              <w:bottom w:val="nil"/>
              <w:right w:val="nil"/>
            </w:tcBorders>
            <w:shd w:val="clear" w:color="000000" w:fill="F2F2F2"/>
            <w:vAlign w:val="center"/>
          </w:tcPr>
          <w:p w14:paraId="5E49EC84" w14:textId="63BF7F87"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647,447,087.8</w:t>
            </w:r>
          </w:p>
        </w:tc>
      </w:tr>
      <w:tr w:rsidR="00A905C4" w:rsidRPr="00FC0913" w14:paraId="37AB665A" w14:textId="77777777" w:rsidTr="00253FAD">
        <w:trPr>
          <w:trHeight w:val="283"/>
          <w:jc w:val="center"/>
        </w:trPr>
        <w:tc>
          <w:tcPr>
            <w:tcW w:w="5475" w:type="dxa"/>
            <w:tcBorders>
              <w:top w:val="nil"/>
              <w:left w:val="nil"/>
              <w:bottom w:val="nil"/>
              <w:right w:val="nil"/>
            </w:tcBorders>
            <w:shd w:val="clear" w:color="000000" w:fill="F2F2F2"/>
            <w:vAlign w:val="center"/>
          </w:tcPr>
          <w:p w14:paraId="7C9F6D03" w14:textId="56817A25" w:rsidR="00A905C4" w:rsidRPr="00253FAD" w:rsidRDefault="00A905C4" w:rsidP="00A905C4">
            <w:pPr>
              <w:spacing w:after="0" w:line="240" w:lineRule="auto"/>
              <w:rPr>
                <w:rFonts w:ascii="Noto Sans" w:hAnsi="Noto Sans" w:cs="Noto Sans"/>
                <w:lang w:val="es-ES"/>
              </w:rPr>
            </w:pPr>
            <w:r>
              <w:rPr>
                <w:rFonts w:ascii="Noto Sans" w:hAnsi="Noto Sans" w:cs="Noto Sans"/>
                <w:color w:val="000000"/>
                <w:sz w:val="15"/>
                <w:szCs w:val="15"/>
              </w:rPr>
              <w:t xml:space="preserve">Fondo para Ayudas Extraordinarias </w:t>
            </w:r>
            <w:r>
              <w:rPr>
                <w:rFonts w:ascii="Noto Sans" w:hAnsi="Noto Sans" w:cs="Noto Sans"/>
                <w:b/>
                <w:bCs/>
                <w:color w:val="000000"/>
                <w:sz w:val="15"/>
                <w:szCs w:val="15"/>
              </w:rPr>
              <w:t>(3.7.c.2)</w:t>
            </w:r>
          </w:p>
        </w:tc>
        <w:tc>
          <w:tcPr>
            <w:tcW w:w="1960" w:type="dxa"/>
            <w:tcBorders>
              <w:top w:val="nil"/>
              <w:left w:val="nil"/>
              <w:bottom w:val="nil"/>
              <w:right w:val="nil"/>
            </w:tcBorders>
            <w:shd w:val="clear" w:color="000000" w:fill="F2F2F2"/>
            <w:vAlign w:val="center"/>
          </w:tcPr>
          <w:p w14:paraId="0B25F7D7" w14:textId="5F46F27D"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318,377,566.2</w:t>
            </w:r>
          </w:p>
        </w:tc>
        <w:tc>
          <w:tcPr>
            <w:tcW w:w="1961" w:type="dxa"/>
            <w:tcBorders>
              <w:top w:val="nil"/>
              <w:left w:val="nil"/>
              <w:bottom w:val="nil"/>
              <w:right w:val="nil"/>
            </w:tcBorders>
            <w:shd w:val="clear" w:color="000000" w:fill="F2F2F2"/>
            <w:vAlign w:val="center"/>
          </w:tcPr>
          <w:p w14:paraId="4AA1AE60" w14:textId="0003EE0F"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108,825,971.8</w:t>
            </w:r>
          </w:p>
        </w:tc>
      </w:tr>
      <w:tr w:rsidR="00A905C4" w:rsidRPr="00FC0913" w14:paraId="2329C738" w14:textId="77777777" w:rsidTr="00253FAD">
        <w:trPr>
          <w:trHeight w:val="283"/>
          <w:jc w:val="center"/>
        </w:trPr>
        <w:tc>
          <w:tcPr>
            <w:tcW w:w="5475" w:type="dxa"/>
            <w:tcBorders>
              <w:top w:val="nil"/>
              <w:left w:val="nil"/>
              <w:bottom w:val="nil"/>
              <w:right w:val="nil"/>
            </w:tcBorders>
            <w:shd w:val="clear" w:color="000000" w:fill="F2F2F2"/>
            <w:vAlign w:val="center"/>
          </w:tcPr>
          <w:p w14:paraId="45825D7E" w14:textId="20B57C09" w:rsidR="00A905C4" w:rsidRPr="00253FAD" w:rsidRDefault="00A905C4" w:rsidP="00A905C4">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 para el Desarrollo del Deporte </w:t>
            </w:r>
            <w:r>
              <w:rPr>
                <w:rFonts w:ascii="Noto Sans" w:hAnsi="Noto Sans" w:cs="Noto Sans"/>
                <w:b/>
                <w:bCs/>
                <w:color w:val="000000"/>
                <w:sz w:val="15"/>
                <w:szCs w:val="15"/>
              </w:rPr>
              <w:t>(3.7.c.3)</w:t>
            </w:r>
          </w:p>
        </w:tc>
        <w:tc>
          <w:tcPr>
            <w:tcW w:w="1960" w:type="dxa"/>
            <w:tcBorders>
              <w:top w:val="nil"/>
              <w:left w:val="nil"/>
              <w:bottom w:val="nil"/>
              <w:right w:val="nil"/>
            </w:tcBorders>
            <w:shd w:val="clear" w:color="000000" w:fill="F2F2F2"/>
            <w:vAlign w:val="center"/>
          </w:tcPr>
          <w:p w14:paraId="35497999" w14:textId="66C3011D"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82,893,816.9</w:t>
            </w:r>
          </w:p>
        </w:tc>
        <w:tc>
          <w:tcPr>
            <w:tcW w:w="1961" w:type="dxa"/>
            <w:tcBorders>
              <w:top w:val="nil"/>
              <w:left w:val="nil"/>
              <w:bottom w:val="nil"/>
              <w:right w:val="nil"/>
            </w:tcBorders>
            <w:shd w:val="clear" w:color="000000" w:fill="F2F2F2"/>
            <w:vAlign w:val="center"/>
          </w:tcPr>
          <w:p w14:paraId="5ECABFB7" w14:textId="797C1985"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75,251,632.7</w:t>
            </w:r>
          </w:p>
        </w:tc>
      </w:tr>
      <w:tr w:rsidR="00A905C4" w:rsidRPr="00FC0913" w14:paraId="706734DF" w14:textId="77777777" w:rsidTr="00253FAD">
        <w:trPr>
          <w:trHeight w:val="283"/>
          <w:jc w:val="center"/>
        </w:trPr>
        <w:tc>
          <w:tcPr>
            <w:tcW w:w="5475" w:type="dxa"/>
            <w:tcBorders>
              <w:top w:val="nil"/>
              <w:left w:val="nil"/>
              <w:bottom w:val="nil"/>
              <w:right w:val="nil"/>
            </w:tcBorders>
            <w:shd w:val="clear" w:color="000000" w:fill="F2F2F2"/>
            <w:vAlign w:val="center"/>
          </w:tcPr>
          <w:p w14:paraId="14CC6CDD" w14:textId="023B8C76" w:rsidR="00A905C4" w:rsidRPr="00253FAD" w:rsidRDefault="00A905C4" w:rsidP="00A905C4">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Fideicomiso de Administración de Teatros y Salas de Espectáculos IMSS </w:t>
            </w:r>
            <w:r>
              <w:rPr>
                <w:rFonts w:ascii="Noto Sans" w:hAnsi="Noto Sans" w:cs="Noto Sans"/>
                <w:b/>
                <w:bCs/>
                <w:color w:val="000000"/>
                <w:sz w:val="15"/>
                <w:szCs w:val="15"/>
              </w:rPr>
              <w:t>(3.7.c.4)</w:t>
            </w:r>
          </w:p>
        </w:tc>
        <w:tc>
          <w:tcPr>
            <w:tcW w:w="1960" w:type="dxa"/>
            <w:tcBorders>
              <w:top w:val="nil"/>
              <w:left w:val="nil"/>
              <w:bottom w:val="nil"/>
              <w:right w:val="nil"/>
            </w:tcBorders>
            <w:shd w:val="clear" w:color="000000" w:fill="F2F2F2"/>
            <w:vAlign w:val="center"/>
          </w:tcPr>
          <w:p w14:paraId="017912A3" w14:textId="2E760C1F"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66,837,051.</w:t>
            </w:r>
            <w:r w:rsidR="006D7414">
              <w:rPr>
                <w:rFonts w:ascii="Noto Sans" w:hAnsi="Noto Sans" w:cs="Noto Sans"/>
                <w:color w:val="000000"/>
                <w:sz w:val="15"/>
                <w:szCs w:val="15"/>
              </w:rPr>
              <w:t>4</w:t>
            </w:r>
          </w:p>
        </w:tc>
        <w:tc>
          <w:tcPr>
            <w:tcW w:w="1961" w:type="dxa"/>
            <w:tcBorders>
              <w:top w:val="nil"/>
              <w:left w:val="nil"/>
              <w:bottom w:val="nil"/>
              <w:right w:val="nil"/>
            </w:tcBorders>
            <w:shd w:val="clear" w:color="000000" w:fill="F2F2F2"/>
            <w:vAlign w:val="center"/>
          </w:tcPr>
          <w:p w14:paraId="1CCC9B1C" w14:textId="76ABA120" w:rsidR="00A905C4" w:rsidRPr="00253FAD" w:rsidRDefault="00A905C4" w:rsidP="00A905C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60,850,696.9</w:t>
            </w:r>
          </w:p>
        </w:tc>
      </w:tr>
      <w:tr w:rsidR="00A905C4" w:rsidRPr="005946C5" w14:paraId="5613504A" w14:textId="77777777" w:rsidTr="00253FAD">
        <w:trPr>
          <w:trHeight w:val="283"/>
          <w:jc w:val="center"/>
        </w:trPr>
        <w:tc>
          <w:tcPr>
            <w:tcW w:w="5475" w:type="dxa"/>
            <w:tcBorders>
              <w:top w:val="nil"/>
              <w:left w:val="nil"/>
              <w:bottom w:val="single" w:sz="12" w:space="0" w:color="A6802D"/>
              <w:right w:val="nil"/>
            </w:tcBorders>
            <w:shd w:val="clear" w:color="000000" w:fill="F2F2F2"/>
            <w:vAlign w:val="center"/>
          </w:tcPr>
          <w:p w14:paraId="42644117" w14:textId="1480D47E" w:rsidR="00A905C4" w:rsidRPr="00253FAD" w:rsidRDefault="00A905C4" w:rsidP="00A905C4">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Fideicomisos, Mandatos y Contratos Análogos</w:t>
            </w:r>
          </w:p>
        </w:tc>
        <w:tc>
          <w:tcPr>
            <w:tcW w:w="1960" w:type="dxa"/>
            <w:tcBorders>
              <w:top w:val="nil"/>
              <w:left w:val="nil"/>
              <w:bottom w:val="single" w:sz="12" w:space="0" w:color="A6802D"/>
              <w:right w:val="nil"/>
            </w:tcBorders>
            <w:shd w:val="clear" w:color="000000" w:fill="F2F2F2"/>
            <w:vAlign w:val="center"/>
          </w:tcPr>
          <w:p w14:paraId="1B21EB25" w14:textId="1D3358BE" w:rsidR="00A905C4" w:rsidRPr="00253FAD" w:rsidRDefault="00A905C4" w:rsidP="00A905C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1,139,785,342.</w:t>
            </w:r>
            <w:r w:rsidR="006D7414">
              <w:rPr>
                <w:rFonts w:ascii="Noto Sans" w:hAnsi="Noto Sans" w:cs="Noto Sans"/>
                <w:b/>
                <w:bCs/>
                <w:color w:val="000000"/>
                <w:sz w:val="15"/>
                <w:szCs w:val="15"/>
              </w:rPr>
              <w:t>5</w:t>
            </w:r>
          </w:p>
        </w:tc>
        <w:tc>
          <w:tcPr>
            <w:tcW w:w="1961" w:type="dxa"/>
            <w:tcBorders>
              <w:top w:val="nil"/>
              <w:left w:val="nil"/>
              <w:bottom w:val="single" w:sz="12" w:space="0" w:color="A6802D"/>
              <w:right w:val="nil"/>
            </w:tcBorders>
            <w:shd w:val="clear" w:color="000000" w:fill="F2F2F2"/>
            <w:vAlign w:val="center"/>
          </w:tcPr>
          <w:p w14:paraId="7F46B178" w14:textId="0EB5005C" w:rsidR="00A905C4" w:rsidRPr="00253FAD" w:rsidRDefault="00A905C4" w:rsidP="00A905C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892,375,389.2</w:t>
            </w:r>
          </w:p>
        </w:tc>
      </w:tr>
      <w:tr w:rsidR="00173215" w:rsidRPr="00274555" w14:paraId="61FD4258" w14:textId="77777777" w:rsidTr="00DD31D5">
        <w:trPr>
          <w:trHeight w:val="226"/>
          <w:jc w:val="center"/>
        </w:trPr>
        <w:tc>
          <w:tcPr>
            <w:tcW w:w="5475" w:type="dxa"/>
            <w:tcBorders>
              <w:top w:val="single" w:sz="12" w:space="0" w:color="A6802D"/>
              <w:left w:val="nil"/>
              <w:right w:val="nil"/>
            </w:tcBorders>
            <w:vAlign w:val="center"/>
          </w:tcPr>
          <w:p w14:paraId="3DFBFEED" w14:textId="77777777" w:rsidR="00173215" w:rsidRPr="00274555" w:rsidRDefault="00173215"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76F8DFD" w14:textId="77777777" w:rsidR="00173215" w:rsidRPr="00274555" w:rsidRDefault="00173215"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5DA6C5C0" w14:textId="77777777" w:rsidR="00173215" w:rsidRPr="00274555" w:rsidRDefault="00173215" w:rsidP="00DD31D5">
            <w:pPr>
              <w:spacing w:after="0" w:line="240" w:lineRule="auto"/>
              <w:jc w:val="both"/>
              <w:rPr>
                <w:rFonts w:ascii="Noto Sans" w:eastAsia="Times New Roman" w:hAnsi="Noto Sans" w:cs="Noto Sans"/>
                <w:b/>
                <w:bCs/>
                <w:color w:val="000000"/>
                <w:sz w:val="14"/>
                <w:szCs w:val="14"/>
                <w:lang w:eastAsia="es-MX"/>
              </w:rPr>
            </w:pPr>
          </w:p>
        </w:tc>
      </w:tr>
    </w:tbl>
    <w:p w14:paraId="4BE723E0" w14:textId="77777777" w:rsidR="00173215" w:rsidRDefault="00173215" w:rsidP="00173215">
      <w:pPr>
        <w:pStyle w:val="TEXTONORMAL"/>
        <w:tabs>
          <w:tab w:val="left" w:pos="2323"/>
        </w:tabs>
        <w:rPr>
          <w:rFonts w:cs="Noto Sans"/>
          <w:szCs w:val="18"/>
        </w:rPr>
      </w:pPr>
    </w:p>
    <w:p w14:paraId="7D583684" w14:textId="77777777" w:rsidR="003E202D" w:rsidRDefault="00253FAD" w:rsidP="00ED1D2E">
      <w:pPr>
        <w:pStyle w:val="TEXTONORMAL"/>
        <w:numPr>
          <w:ilvl w:val="0"/>
          <w:numId w:val="13"/>
        </w:numPr>
        <w:tabs>
          <w:tab w:val="left" w:pos="2323"/>
        </w:tabs>
        <w:ind w:left="998" w:hanging="284"/>
        <w:rPr>
          <w:rFonts w:cs="Noto Sans"/>
          <w:szCs w:val="18"/>
        </w:rPr>
      </w:pPr>
      <w:r>
        <w:rPr>
          <w:rFonts w:cs="Noto Sans"/>
          <w:szCs w:val="18"/>
        </w:rPr>
        <w:t>3</w:t>
      </w:r>
      <w:r w:rsidR="003E202D">
        <w:rPr>
          <w:rFonts w:cs="Noto Sans"/>
          <w:szCs w:val="18"/>
        </w:rPr>
        <w:t>.7.c.1)</w:t>
      </w:r>
      <w:r w:rsidR="003E202D" w:rsidRPr="003E202D">
        <w:t xml:space="preserve"> </w:t>
      </w:r>
      <w:r w:rsidR="003E202D">
        <w:t>Fideicomiso de Beneficios Sociales (FIBESO), fue constituido el 29 de junio de 1990 y su objeto es proporcionar el servicio de velatorios para los derechohabientes y la población en general.</w:t>
      </w:r>
    </w:p>
    <w:p w14:paraId="3C30669B" w14:textId="77777777" w:rsidR="003E202D" w:rsidRPr="003E202D" w:rsidRDefault="00253FAD" w:rsidP="00ED1D2E">
      <w:pPr>
        <w:pStyle w:val="TEXTONORMAL"/>
        <w:numPr>
          <w:ilvl w:val="0"/>
          <w:numId w:val="13"/>
        </w:numPr>
        <w:tabs>
          <w:tab w:val="left" w:pos="2323"/>
        </w:tabs>
        <w:ind w:left="998" w:hanging="284"/>
        <w:rPr>
          <w:rFonts w:cs="Noto Sans"/>
          <w:szCs w:val="18"/>
        </w:rPr>
      </w:pPr>
      <w:r>
        <w:rPr>
          <w:bCs/>
        </w:rPr>
        <w:t>3</w:t>
      </w:r>
      <w:r w:rsidR="003E202D" w:rsidRPr="003E202D">
        <w:rPr>
          <w:bCs/>
        </w:rPr>
        <w:t>.7.c.2)</w:t>
      </w:r>
      <w:r w:rsidR="003E202D">
        <w:t xml:space="preserve"> 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w:t>
      </w:r>
    </w:p>
    <w:p w14:paraId="27DD1D81" w14:textId="77777777" w:rsidR="003E202D" w:rsidRDefault="00253FAD" w:rsidP="00ED1D2E">
      <w:pPr>
        <w:pStyle w:val="TEXTONORMAL"/>
        <w:numPr>
          <w:ilvl w:val="0"/>
          <w:numId w:val="13"/>
        </w:numPr>
        <w:tabs>
          <w:tab w:val="left" w:pos="2323"/>
        </w:tabs>
        <w:ind w:left="998" w:hanging="284"/>
        <w:rPr>
          <w:rFonts w:cs="Noto Sans"/>
          <w:szCs w:val="18"/>
        </w:rPr>
      </w:pPr>
      <w:r>
        <w:rPr>
          <w:bCs/>
        </w:rPr>
        <w:t>3</w:t>
      </w:r>
      <w:r w:rsidR="003E202D" w:rsidRPr="003E202D">
        <w:rPr>
          <w:bCs/>
        </w:rPr>
        <w:t>.7.c.3)</w:t>
      </w:r>
      <w:r w:rsidR="003E202D">
        <w:t xml:space="preserve"> Fideicomiso para el Desarrollo del Deporte (FIDEIMSS), fue constituido el 17 de julio de 1991, con el objeto de apoyar el deporte de alto rendimiento facilitando a deportistas de escasos recursos, tener la oportunidad de destacar deportivamente en el entorno nacional e internacional.</w:t>
      </w:r>
    </w:p>
    <w:p w14:paraId="68C1A57E" w14:textId="77777777" w:rsidR="003E202D" w:rsidRPr="003E202D" w:rsidRDefault="00253FAD" w:rsidP="00ED1D2E">
      <w:pPr>
        <w:pStyle w:val="TEXTONORMAL"/>
        <w:numPr>
          <w:ilvl w:val="0"/>
          <w:numId w:val="13"/>
        </w:numPr>
        <w:tabs>
          <w:tab w:val="left" w:pos="2323"/>
        </w:tabs>
        <w:ind w:left="998" w:hanging="284"/>
        <w:rPr>
          <w:rFonts w:cs="Noto Sans"/>
          <w:szCs w:val="18"/>
        </w:rPr>
      </w:pPr>
      <w:r>
        <w:rPr>
          <w:bCs/>
        </w:rPr>
        <w:t>3</w:t>
      </w:r>
      <w:r w:rsidR="003E202D" w:rsidRPr="003E202D">
        <w:rPr>
          <w:bCs/>
        </w:rPr>
        <w:t>.7.c.4)</w:t>
      </w:r>
      <w:r w:rsidR="003E202D" w:rsidRPr="003E202D">
        <w:t xml:space="preserve"> </w:t>
      </w:r>
      <w:r w:rsidR="003E202D">
        <w:t>Fideicomiso de Administración de Teatros y Salas de Espectáculos IMSS, fue constituido el 01 de febrero de 1983, con el objeto de promover el desarrollo de proyectos teatrales.</w:t>
      </w:r>
    </w:p>
    <w:p w14:paraId="67F6C57D" w14:textId="77777777" w:rsidR="003E202D" w:rsidRDefault="003E202D" w:rsidP="003E202D">
      <w:pPr>
        <w:pStyle w:val="TEXTONORMAL"/>
        <w:tabs>
          <w:tab w:val="left" w:pos="2323"/>
        </w:tabs>
        <w:ind w:left="998"/>
        <w:rPr>
          <w:rFonts w:cs="Noto Sans"/>
          <w:szCs w:val="18"/>
        </w:rPr>
      </w:pPr>
    </w:p>
    <w:p w14:paraId="010329C6" w14:textId="77777777" w:rsidR="00B86E84" w:rsidRDefault="00B86E84" w:rsidP="003E202D">
      <w:pPr>
        <w:pStyle w:val="TEXTONORMAL"/>
        <w:tabs>
          <w:tab w:val="left" w:pos="2323"/>
        </w:tabs>
        <w:ind w:left="998"/>
        <w:rPr>
          <w:rFonts w:cs="Noto Sans"/>
          <w:szCs w:val="18"/>
        </w:rPr>
      </w:pPr>
    </w:p>
    <w:p w14:paraId="1CD73A8E" w14:textId="77777777" w:rsidR="00BD1336" w:rsidRDefault="00BD1336" w:rsidP="003E202D">
      <w:pPr>
        <w:pStyle w:val="TEXTONORMAL"/>
        <w:tabs>
          <w:tab w:val="left" w:pos="2323"/>
        </w:tabs>
        <w:ind w:left="998"/>
        <w:rPr>
          <w:rFonts w:cs="Noto Sans"/>
          <w:szCs w:val="18"/>
        </w:rPr>
      </w:pPr>
    </w:p>
    <w:p w14:paraId="5F6FF7FF" w14:textId="77777777" w:rsidR="00D730B0" w:rsidRDefault="00D730B0" w:rsidP="003E202D">
      <w:pPr>
        <w:pStyle w:val="TEXTONORMAL"/>
        <w:tabs>
          <w:tab w:val="left" w:pos="2323"/>
        </w:tabs>
        <w:ind w:left="998"/>
        <w:rPr>
          <w:rFonts w:cs="Noto Sans"/>
          <w:szCs w:val="18"/>
        </w:rPr>
      </w:pPr>
    </w:p>
    <w:p w14:paraId="7D3845FC" w14:textId="77777777" w:rsidR="00B86E84" w:rsidRPr="003E202D" w:rsidRDefault="00B86E84" w:rsidP="00253FAD">
      <w:pPr>
        <w:pStyle w:val="TEXTONORMAL"/>
        <w:tabs>
          <w:tab w:val="left" w:pos="2323"/>
        </w:tabs>
        <w:rPr>
          <w:rFonts w:cs="Noto Sans"/>
          <w:szCs w:val="18"/>
        </w:rPr>
      </w:pPr>
    </w:p>
    <w:p w14:paraId="72E1BFEB" w14:textId="45B8F894" w:rsidR="00B86E84" w:rsidRDefault="0081738F" w:rsidP="00ED1D2E">
      <w:pPr>
        <w:pStyle w:val="TEXTONORMAL"/>
        <w:numPr>
          <w:ilvl w:val="0"/>
          <w:numId w:val="17"/>
        </w:numPr>
        <w:ind w:left="357" w:hanging="357"/>
      </w:pPr>
      <w:r>
        <w:t>3.8 Derechos</w:t>
      </w:r>
      <w:r w:rsidR="00B86E84">
        <w:t xml:space="preserve"> a Recibir Efectivo o Equivalentes a Largo Plazo </w:t>
      </w:r>
    </w:p>
    <w:p w14:paraId="598C7F73" w14:textId="724E3C82" w:rsidR="00B86E84" w:rsidRDefault="004C72F3" w:rsidP="00B86E84">
      <w:pPr>
        <w:pStyle w:val="TEXTONORMAL"/>
      </w:pPr>
      <w:r>
        <w:rPr>
          <w:rFonts w:cs="Noto Sans"/>
          <w:szCs w:val="18"/>
        </w:rPr>
        <w:t>A</w:t>
      </w:r>
      <w:r w:rsidRPr="000F4D76">
        <w:rPr>
          <w:rFonts w:cs="Noto Sans"/>
          <w:szCs w:val="18"/>
        </w:rPr>
        <w:t xml:space="preserve">l </w:t>
      </w:r>
      <w:r w:rsidR="00FC4C18" w:rsidRPr="002B3F78">
        <w:rPr>
          <w:rFonts w:cs="Noto Sans"/>
          <w:szCs w:val="18"/>
        </w:rPr>
        <w:t>3</w:t>
      </w:r>
      <w:r w:rsidR="00FC4C18">
        <w:rPr>
          <w:rFonts w:cs="Noto Sans"/>
          <w:szCs w:val="18"/>
        </w:rPr>
        <w:t>0</w:t>
      </w:r>
      <w:r w:rsidR="00FC4C18" w:rsidRPr="002B3F78">
        <w:rPr>
          <w:rFonts w:cs="Noto Sans"/>
          <w:szCs w:val="18"/>
        </w:rPr>
        <w:t xml:space="preserve"> de </w:t>
      </w:r>
      <w:r w:rsidR="00FC4C18">
        <w:rPr>
          <w:rFonts w:cs="Noto Sans"/>
          <w:szCs w:val="18"/>
        </w:rPr>
        <w:t>junio</w:t>
      </w:r>
      <w:r w:rsidR="00FC4C18" w:rsidRPr="002B3F78">
        <w:rPr>
          <w:rFonts w:cs="Noto Sans"/>
          <w:szCs w:val="18"/>
        </w:rPr>
        <w:t xml:space="preserve"> </w:t>
      </w:r>
      <w:r w:rsidRPr="000F4D76">
        <w:rPr>
          <w:rFonts w:cs="Noto Sans"/>
          <w:szCs w:val="18"/>
        </w:rPr>
        <w:t>de 2025 y 31 de diciembre de 2024</w:t>
      </w:r>
      <w:r w:rsidR="00B86E84" w:rsidRPr="00A252C8">
        <w:t>, el rubro de Derechos a Recibir Efectivo o Equivalentes a Largo Plazo se integra de la siguiente manera:</w:t>
      </w:r>
    </w:p>
    <w:p w14:paraId="7E0239F6" w14:textId="77777777" w:rsidR="00152212" w:rsidRDefault="00152212" w:rsidP="00B86E84">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B86E84" w:rsidRPr="005946C5" w14:paraId="560B6A56" w14:textId="77777777" w:rsidTr="00DD31D5">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67694BE" w14:textId="77777777" w:rsidR="00B86E84" w:rsidRPr="008E629A" w:rsidRDefault="00B86E84"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E3518F5" w14:textId="77777777" w:rsidR="00B86E84" w:rsidRPr="008E629A" w:rsidRDefault="00B86E84"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B86E84" w:rsidRPr="005946C5" w14:paraId="4A4A5D63" w14:textId="77777777" w:rsidTr="00DD31D5">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EFB3E7C" w14:textId="77777777" w:rsidR="00B86E84" w:rsidRPr="008E629A" w:rsidRDefault="00B86E84" w:rsidP="00DD31D5">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798DB56" w14:textId="1A6CE484" w:rsidR="00B86E84" w:rsidRPr="008E629A" w:rsidRDefault="00B86E84"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1E23463D" w14:textId="3C75BBEF" w:rsidR="00B86E84" w:rsidRPr="008E629A" w:rsidRDefault="00B86E84"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716771" w:rsidRPr="005946C5" w14:paraId="2C066DBF" w14:textId="77777777" w:rsidTr="00DD31D5">
        <w:trPr>
          <w:trHeight w:val="267"/>
          <w:jc w:val="center"/>
        </w:trPr>
        <w:tc>
          <w:tcPr>
            <w:tcW w:w="5475" w:type="dxa"/>
            <w:tcBorders>
              <w:top w:val="triple" w:sz="12" w:space="0" w:color="A6802D"/>
              <w:left w:val="nil"/>
              <w:bottom w:val="nil"/>
              <w:right w:val="nil"/>
            </w:tcBorders>
            <w:shd w:val="clear" w:color="000000" w:fill="F2F2F2"/>
            <w:vAlign w:val="center"/>
          </w:tcPr>
          <w:p w14:paraId="21ED86E4" w14:textId="379E92E6" w:rsidR="00716771" w:rsidRPr="00253FAD" w:rsidRDefault="00716771" w:rsidP="0071677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Deudores por Préstamos al Personal </w:t>
            </w:r>
            <w:r>
              <w:rPr>
                <w:rFonts w:ascii="Noto Sans" w:hAnsi="Noto Sans" w:cs="Noto Sans"/>
                <w:b/>
                <w:bCs/>
                <w:color w:val="000000"/>
                <w:sz w:val="15"/>
                <w:szCs w:val="15"/>
              </w:rPr>
              <w:t>(3.8.a)</w:t>
            </w:r>
          </w:p>
        </w:tc>
        <w:tc>
          <w:tcPr>
            <w:tcW w:w="1960" w:type="dxa"/>
            <w:tcBorders>
              <w:top w:val="triple" w:sz="12" w:space="0" w:color="A6802D"/>
              <w:left w:val="nil"/>
              <w:bottom w:val="nil"/>
              <w:right w:val="nil"/>
            </w:tcBorders>
            <w:shd w:val="clear" w:color="000000" w:fill="F2F2F2"/>
            <w:vAlign w:val="center"/>
          </w:tcPr>
          <w:p w14:paraId="305CB032" w14:textId="46D77ADE" w:rsidR="00716771" w:rsidRPr="00253FAD" w:rsidRDefault="00716771" w:rsidP="007167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31,936,199,954.8</w:t>
            </w:r>
          </w:p>
        </w:tc>
        <w:tc>
          <w:tcPr>
            <w:tcW w:w="1961" w:type="dxa"/>
            <w:tcBorders>
              <w:top w:val="triple" w:sz="12" w:space="0" w:color="A6802D"/>
              <w:left w:val="nil"/>
              <w:bottom w:val="nil"/>
              <w:right w:val="nil"/>
            </w:tcBorders>
            <w:shd w:val="clear" w:color="000000" w:fill="F2F2F2"/>
            <w:vAlign w:val="center"/>
          </w:tcPr>
          <w:p w14:paraId="6EE0400F" w14:textId="32D2EBE2" w:rsidR="00716771" w:rsidRPr="00253FAD" w:rsidRDefault="00716771" w:rsidP="007167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31,586,431,111.0</w:t>
            </w:r>
          </w:p>
        </w:tc>
      </w:tr>
      <w:tr w:rsidR="00716771" w:rsidRPr="00FC0913" w14:paraId="6F35A5D8" w14:textId="77777777" w:rsidTr="00DD31D5">
        <w:trPr>
          <w:trHeight w:val="283"/>
          <w:jc w:val="center"/>
        </w:trPr>
        <w:tc>
          <w:tcPr>
            <w:tcW w:w="5475" w:type="dxa"/>
            <w:tcBorders>
              <w:top w:val="nil"/>
              <w:left w:val="nil"/>
              <w:bottom w:val="nil"/>
              <w:right w:val="nil"/>
            </w:tcBorders>
            <w:shd w:val="clear" w:color="000000" w:fill="F2F2F2"/>
            <w:vAlign w:val="center"/>
          </w:tcPr>
          <w:p w14:paraId="0DACFA41" w14:textId="5DA69625" w:rsidR="00716771" w:rsidRPr="00253FAD" w:rsidRDefault="00716771" w:rsidP="00716771">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Bienes Adjudicados</w:t>
            </w:r>
          </w:p>
        </w:tc>
        <w:tc>
          <w:tcPr>
            <w:tcW w:w="1960" w:type="dxa"/>
            <w:tcBorders>
              <w:top w:val="nil"/>
              <w:left w:val="nil"/>
              <w:bottom w:val="nil"/>
              <w:right w:val="nil"/>
            </w:tcBorders>
            <w:shd w:val="clear" w:color="000000" w:fill="F2F2F2"/>
            <w:vAlign w:val="center"/>
          </w:tcPr>
          <w:p w14:paraId="40093620" w14:textId="1035DED3" w:rsidR="00716771" w:rsidRPr="00253FAD" w:rsidRDefault="00716771" w:rsidP="007167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2,378,846,738.0</w:t>
            </w:r>
          </w:p>
        </w:tc>
        <w:tc>
          <w:tcPr>
            <w:tcW w:w="1961" w:type="dxa"/>
            <w:tcBorders>
              <w:top w:val="nil"/>
              <w:left w:val="nil"/>
              <w:bottom w:val="nil"/>
              <w:right w:val="nil"/>
            </w:tcBorders>
            <w:shd w:val="clear" w:color="000000" w:fill="F2F2F2"/>
            <w:vAlign w:val="center"/>
          </w:tcPr>
          <w:p w14:paraId="3C6E5167" w14:textId="0E97F3FF" w:rsidR="00716771" w:rsidRPr="00253FAD" w:rsidRDefault="00716771" w:rsidP="007167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2,197,501,009.5</w:t>
            </w:r>
          </w:p>
        </w:tc>
      </w:tr>
      <w:tr w:rsidR="00716771" w:rsidRPr="005946C5" w14:paraId="6373B488" w14:textId="77777777" w:rsidTr="00DD31D5">
        <w:trPr>
          <w:trHeight w:val="226"/>
          <w:jc w:val="center"/>
        </w:trPr>
        <w:tc>
          <w:tcPr>
            <w:tcW w:w="5475" w:type="dxa"/>
            <w:tcBorders>
              <w:top w:val="nil"/>
              <w:left w:val="nil"/>
              <w:bottom w:val="single" w:sz="12" w:space="0" w:color="A6802D"/>
              <w:right w:val="nil"/>
            </w:tcBorders>
            <w:shd w:val="clear" w:color="000000" w:fill="F2F2F2"/>
            <w:vAlign w:val="center"/>
          </w:tcPr>
          <w:p w14:paraId="78284FF8" w14:textId="7A464B1F" w:rsidR="00716771" w:rsidRPr="00253FAD" w:rsidRDefault="00716771" w:rsidP="00716771">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Derechos a Recibir Efectivo o Equivalentes a Largo Plazo</w:t>
            </w:r>
          </w:p>
        </w:tc>
        <w:tc>
          <w:tcPr>
            <w:tcW w:w="1960" w:type="dxa"/>
            <w:tcBorders>
              <w:top w:val="nil"/>
              <w:left w:val="nil"/>
              <w:bottom w:val="single" w:sz="12" w:space="0" w:color="A6802D"/>
              <w:right w:val="nil"/>
            </w:tcBorders>
            <w:shd w:val="clear" w:color="000000" w:fill="F2F2F2"/>
            <w:vAlign w:val="center"/>
          </w:tcPr>
          <w:p w14:paraId="3D90CAB7" w14:textId="2EAE657E" w:rsidR="00716771" w:rsidRPr="00253FAD" w:rsidRDefault="00716771" w:rsidP="0071677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34,315,046,692.8</w:t>
            </w:r>
          </w:p>
        </w:tc>
        <w:tc>
          <w:tcPr>
            <w:tcW w:w="1961" w:type="dxa"/>
            <w:tcBorders>
              <w:top w:val="nil"/>
              <w:left w:val="nil"/>
              <w:bottom w:val="single" w:sz="12" w:space="0" w:color="A6802D"/>
              <w:right w:val="nil"/>
            </w:tcBorders>
            <w:shd w:val="clear" w:color="000000" w:fill="F2F2F2"/>
            <w:vAlign w:val="center"/>
          </w:tcPr>
          <w:p w14:paraId="76BD9E6D" w14:textId="2198637F" w:rsidR="00716771" w:rsidRPr="00253FAD" w:rsidRDefault="00716771" w:rsidP="0071677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33,783,932,120.5</w:t>
            </w:r>
          </w:p>
        </w:tc>
      </w:tr>
      <w:tr w:rsidR="00B86E84" w:rsidRPr="00274555" w14:paraId="7E2721AC" w14:textId="77777777" w:rsidTr="00DD31D5">
        <w:trPr>
          <w:trHeight w:val="226"/>
          <w:jc w:val="center"/>
        </w:trPr>
        <w:tc>
          <w:tcPr>
            <w:tcW w:w="5475" w:type="dxa"/>
            <w:tcBorders>
              <w:top w:val="single" w:sz="12" w:space="0" w:color="A6802D"/>
              <w:left w:val="nil"/>
              <w:right w:val="nil"/>
            </w:tcBorders>
            <w:vAlign w:val="center"/>
          </w:tcPr>
          <w:p w14:paraId="68E1A5D6" w14:textId="77777777" w:rsidR="00B86E84" w:rsidRPr="00274555" w:rsidRDefault="00B86E84" w:rsidP="00DD31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33A3FA2E" w14:textId="77777777" w:rsidR="00B86E84" w:rsidRPr="00274555" w:rsidRDefault="00B86E84" w:rsidP="00DD31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34C17EB8" w14:textId="77777777" w:rsidR="00B86E84" w:rsidRPr="00274555" w:rsidRDefault="00B86E84" w:rsidP="00DD31D5">
            <w:pPr>
              <w:spacing w:after="0" w:line="240" w:lineRule="auto"/>
              <w:jc w:val="both"/>
              <w:rPr>
                <w:rFonts w:ascii="Noto Sans" w:eastAsia="Times New Roman" w:hAnsi="Noto Sans" w:cs="Noto Sans"/>
                <w:b/>
                <w:bCs/>
                <w:color w:val="000000"/>
                <w:sz w:val="14"/>
                <w:szCs w:val="14"/>
                <w:lang w:eastAsia="es-MX"/>
              </w:rPr>
            </w:pPr>
          </w:p>
        </w:tc>
      </w:tr>
    </w:tbl>
    <w:p w14:paraId="3E43B29A" w14:textId="77777777" w:rsidR="003E202D" w:rsidRDefault="003E202D" w:rsidP="003E202D">
      <w:pPr>
        <w:pStyle w:val="TEXTONORMAL"/>
        <w:tabs>
          <w:tab w:val="left" w:pos="2323"/>
        </w:tabs>
        <w:rPr>
          <w:rFonts w:cs="Noto Sans"/>
          <w:szCs w:val="18"/>
        </w:rPr>
      </w:pPr>
    </w:p>
    <w:p w14:paraId="7A1EB2DC" w14:textId="77777777" w:rsidR="00152212" w:rsidRPr="00595CBF" w:rsidRDefault="00253FAD" w:rsidP="00ED1D2E">
      <w:pPr>
        <w:pStyle w:val="TEXTONORMAL"/>
        <w:numPr>
          <w:ilvl w:val="0"/>
          <w:numId w:val="15"/>
        </w:numPr>
        <w:ind w:left="714" w:hanging="357"/>
      </w:pPr>
      <w:r>
        <w:t>3</w:t>
      </w:r>
      <w:r w:rsidR="00B86E84" w:rsidRPr="00152212">
        <w:t>.8.a</w:t>
      </w:r>
      <w:r w:rsidR="00B86E84" w:rsidRPr="00595CBF">
        <w:rPr>
          <w:b/>
        </w:rPr>
        <w:t>)</w:t>
      </w:r>
      <w:r w:rsidR="00B86E84" w:rsidRPr="00595CBF">
        <w:t xml:space="preserve"> 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14:paraId="06C089B4" w14:textId="77777777" w:rsidR="00152212" w:rsidRPr="00152212"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Para obtener un préstamo a mediano plazo o un crédito hipotecario, el trabajador deberá tener una antigüedad laboral mínima de 5 años.</w:t>
      </w:r>
    </w:p>
    <w:p w14:paraId="236F6189" w14:textId="77777777" w:rsidR="00152212" w:rsidRPr="00152212"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 xml:space="preserve">El plazo máximo de amortización es de 25 años. </w:t>
      </w:r>
    </w:p>
    <w:p w14:paraId="02FD7F84" w14:textId="77777777" w:rsidR="00152212" w:rsidRPr="00152212"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El crédito deberá destinarse para la construcción, adquisición o ampliación de vivienda del o para el trabajador.</w:t>
      </w:r>
    </w:p>
    <w:p w14:paraId="5211AE03" w14:textId="77777777" w:rsidR="00B86E84" w:rsidRDefault="00B86E84" w:rsidP="00ED1D2E">
      <w:pPr>
        <w:pStyle w:val="Prrafodelista"/>
        <w:numPr>
          <w:ilvl w:val="0"/>
          <w:numId w:val="18"/>
        </w:numPr>
        <w:spacing w:after="120" w:line="250" w:lineRule="exact"/>
        <w:ind w:left="998" w:hanging="284"/>
        <w:contextualSpacing w:val="0"/>
        <w:jc w:val="both"/>
        <w:rPr>
          <w:rFonts w:ascii="Noto Sans" w:hAnsi="Noto Sans" w:cs="Noto Sans"/>
          <w:sz w:val="18"/>
          <w:szCs w:val="18"/>
        </w:rPr>
      </w:pPr>
      <w:r w:rsidRPr="00B86E84">
        <w:rPr>
          <w:rFonts w:ascii="Noto Sans" w:hAnsi="Noto Sans" w:cs="Noto Sans"/>
          <w:sz w:val="18"/>
          <w:szCs w:val="18"/>
        </w:rPr>
        <w:t>Deberá ser garantizado mediante hipoteca o fideicomiso en primer lugar, que se constituirá sobre el inmueble objeto de la operación.</w:t>
      </w:r>
    </w:p>
    <w:p w14:paraId="0B4D98BD" w14:textId="77777777" w:rsidR="00152212" w:rsidRDefault="00152212" w:rsidP="00152212">
      <w:pPr>
        <w:spacing w:after="120" w:line="250" w:lineRule="exact"/>
        <w:jc w:val="both"/>
        <w:rPr>
          <w:rFonts w:ascii="Noto Sans" w:hAnsi="Noto Sans" w:cs="Noto Sans"/>
          <w:sz w:val="18"/>
          <w:szCs w:val="18"/>
        </w:rPr>
      </w:pPr>
    </w:p>
    <w:p w14:paraId="3AE94781" w14:textId="77777777" w:rsidR="00152212" w:rsidRDefault="00152212" w:rsidP="00152212">
      <w:pPr>
        <w:pStyle w:val="TEXTONORMAL"/>
      </w:pPr>
      <w:r w:rsidRPr="00595CBF">
        <w:t>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Reglamento de Préstamos para el Fomento de la Habitación de los Trabajadores, del CCT.</w:t>
      </w:r>
    </w:p>
    <w:p w14:paraId="2268E639" w14:textId="77777777" w:rsidR="00B86E84" w:rsidRDefault="00B86E84" w:rsidP="00B86E84">
      <w:pPr>
        <w:spacing w:after="120" w:line="250" w:lineRule="exact"/>
        <w:jc w:val="both"/>
        <w:rPr>
          <w:rFonts w:ascii="Noto Sans" w:hAnsi="Noto Sans" w:cs="Noto Sans"/>
          <w:sz w:val="18"/>
          <w:szCs w:val="18"/>
        </w:rPr>
      </w:pPr>
    </w:p>
    <w:p w14:paraId="248028FB" w14:textId="77777777" w:rsidR="00D730B0" w:rsidRDefault="00D730B0" w:rsidP="00B86E84">
      <w:pPr>
        <w:spacing w:after="120" w:line="250" w:lineRule="exact"/>
        <w:jc w:val="both"/>
        <w:rPr>
          <w:rFonts w:ascii="Noto Sans" w:hAnsi="Noto Sans" w:cs="Noto Sans"/>
          <w:sz w:val="18"/>
          <w:szCs w:val="18"/>
        </w:rPr>
      </w:pPr>
    </w:p>
    <w:p w14:paraId="137191B0" w14:textId="77777777" w:rsidR="00D730B0" w:rsidRDefault="00D730B0" w:rsidP="00B86E84">
      <w:pPr>
        <w:spacing w:after="120" w:line="250" w:lineRule="exact"/>
        <w:jc w:val="both"/>
        <w:rPr>
          <w:rFonts w:ascii="Noto Sans" w:hAnsi="Noto Sans" w:cs="Noto Sans"/>
          <w:sz w:val="18"/>
          <w:szCs w:val="18"/>
        </w:rPr>
      </w:pPr>
    </w:p>
    <w:p w14:paraId="136C10BF" w14:textId="77777777" w:rsidR="00D730B0" w:rsidRDefault="00D730B0" w:rsidP="00B86E84">
      <w:pPr>
        <w:spacing w:after="120" w:line="250" w:lineRule="exact"/>
        <w:jc w:val="both"/>
        <w:rPr>
          <w:rFonts w:ascii="Noto Sans" w:hAnsi="Noto Sans" w:cs="Noto Sans"/>
          <w:sz w:val="18"/>
          <w:szCs w:val="18"/>
        </w:rPr>
      </w:pPr>
    </w:p>
    <w:p w14:paraId="2D54E1B0" w14:textId="77777777" w:rsidR="00152212" w:rsidRDefault="00152212" w:rsidP="00B86E84">
      <w:pPr>
        <w:spacing w:after="120" w:line="250" w:lineRule="exact"/>
        <w:jc w:val="both"/>
        <w:rPr>
          <w:rFonts w:ascii="Noto Sans" w:hAnsi="Noto Sans" w:cs="Noto Sans"/>
          <w:sz w:val="18"/>
          <w:szCs w:val="18"/>
        </w:rPr>
      </w:pPr>
    </w:p>
    <w:p w14:paraId="29A4DAB7" w14:textId="77777777" w:rsidR="00152212" w:rsidRPr="00B86E84" w:rsidRDefault="00152212" w:rsidP="00B86E84">
      <w:pPr>
        <w:spacing w:after="120" w:line="250" w:lineRule="exact"/>
        <w:jc w:val="both"/>
        <w:rPr>
          <w:rFonts w:ascii="Noto Sans" w:hAnsi="Noto Sans" w:cs="Noto Sans"/>
          <w:sz w:val="18"/>
          <w:szCs w:val="18"/>
        </w:rPr>
      </w:pPr>
    </w:p>
    <w:p w14:paraId="34675D0C" w14:textId="7B3296EF" w:rsidR="00152212" w:rsidRPr="00152212" w:rsidRDefault="0081738F" w:rsidP="00ED1D2E">
      <w:pPr>
        <w:pStyle w:val="Prrafodelista"/>
        <w:numPr>
          <w:ilvl w:val="0"/>
          <w:numId w:val="17"/>
        </w:numPr>
        <w:spacing w:after="120" w:line="250" w:lineRule="exact"/>
        <w:ind w:left="357" w:hanging="357"/>
        <w:rPr>
          <w:rFonts w:ascii="Noto Sans" w:hAnsi="Noto Sans"/>
          <w:sz w:val="18"/>
        </w:rPr>
      </w:pPr>
      <w:r w:rsidRPr="007574CD">
        <w:rPr>
          <w:rFonts w:ascii="Noto Sans" w:hAnsi="Noto Sans"/>
          <w:sz w:val="18"/>
        </w:rPr>
        <w:t>3.9 Bienes</w:t>
      </w:r>
      <w:r w:rsidR="00152212" w:rsidRPr="00152212">
        <w:rPr>
          <w:rFonts w:ascii="Noto Sans" w:hAnsi="Noto Sans"/>
          <w:sz w:val="18"/>
        </w:rPr>
        <w:t xml:space="preserve"> Inmuebles, Infraestructura y Construcciones en Proceso</w:t>
      </w:r>
    </w:p>
    <w:p w14:paraId="7C696288" w14:textId="2A1949DA" w:rsidR="00152212" w:rsidRDefault="004C72F3" w:rsidP="00152212">
      <w:pPr>
        <w:pStyle w:val="TEXTONORMAL"/>
      </w:pPr>
      <w:r>
        <w:rPr>
          <w:rFonts w:cs="Noto Sans"/>
          <w:szCs w:val="18"/>
        </w:rPr>
        <w:t>A</w:t>
      </w:r>
      <w:r w:rsidRPr="000F4D76">
        <w:rPr>
          <w:rFonts w:cs="Noto Sans"/>
          <w:szCs w:val="18"/>
        </w:rPr>
        <w:t xml:space="preserve">l </w:t>
      </w:r>
      <w:r w:rsidR="00AD6A88" w:rsidRPr="002B3F78">
        <w:rPr>
          <w:rFonts w:cs="Noto Sans"/>
          <w:szCs w:val="18"/>
        </w:rPr>
        <w:t>3</w:t>
      </w:r>
      <w:r w:rsidR="00AD6A88">
        <w:rPr>
          <w:rFonts w:cs="Noto Sans"/>
          <w:szCs w:val="18"/>
        </w:rPr>
        <w:t>0</w:t>
      </w:r>
      <w:r w:rsidR="00AD6A88" w:rsidRPr="002B3F78">
        <w:rPr>
          <w:rFonts w:cs="Noto Sans"/>
          <w:szCs w:val="18"/>
        </w:rPr>
        <w:t xml:space="preserve"> de </w:t>
      </w:r>
      <w:r w:rsidR="00AD6A88">
        <w:rPr>
          <w:rFonts w:cs="Noto Sans"/>
          <w:szCs w:val="18"/>
        </w:rPr>
        <w:t>junio</w:t>
      </w:r>
      <w:r w:rsidR="00AD6A88" w:rsidRPr="002B3F78">
        <w:rPr>
          <w:rFonts w:cs="Noto Sans"/>
          <w:szCs w:val="18"/>
        </w:rPr>
        <w:t xml:space="preserve"> </w:t>
      </w:r>
      <w:r w:rsidRPr="000F4D76">
        <w:rPr>
          <w:rFonts w:cs="Noto Sans"/>
          <w:szCs w:val="18"/>
        </w:rPr>
        <w:t>de 2025 y 31 de diciembre de 2024</w:t>
      </w:r>
      <w:r w:rsidR="00152212" w:rsidRPr="00736709">
        <w:t>, este rubro se integra de la siguiente manera:</w:t>
      </w:r>
    </w:p>
    <w:p w14:paraId="6944586B" w14:textId="77777777" w:rsidR="003019E2" w:rsidRDefault="003019E2" w:rsidP="00152212">
      <w:pPr>
        <w:pStyle w:val="TEXTONORMAL"/>
      </w:pPr>
    </w:p>
    <w:tbl>
      <w:tblPr>
        <w:tblW w:w="0" w:type="auto"/>
        <w:jc w:val="center"/>
        <w:tblCellMar>
          <w:left w:w="70" w:type="dxa"/>
          <w:right w:w="70" w:type="dxa"/>
        </w:tblCellMar>
        <w:tblLook w:val="0480" w:firstRow="0" w:lastRow="0" w:firstColumn="1" w:lastColumn="0" w:noHBand="0" w:noVBand="1"/>
      </w:tblPr>
      <w:tblGrid>
        <w:gridCol w:w="3685"/>
        <w:gridCol w:w="1502"/>
        <w:gridCol w:w="1541"/>
        <w:gridCol w:w="1427"/>
        <w:gridCol w:w="1362"/>
        <w:gridCol w:w="57"/>
      </w:tblGrid>
      <w:tr w:rsidR="003019E2" w:rsidRPr="005946C5" w14:paraId="2E28CDEA" w14:textId="77777777" w:rsidTr="009D5880">
        <w:trPr>
          <w:trHeight w:val="83"/>
          <w:jc w:val="center"/>
        </w:trPr>
        <w:tc>
          <w:tcPr>
            <w:tcW w:w="3685" w:type="dxa"/>
            <w:vMerge w:val="restart"/>
            <w:tcBorders>
              <w:top w:val="double" w:sz="12" w:space="0" w:color="A6802D"/>
              <w:left w:val="nil"/>
              <w:right w:val="single" w:sz="12" w:space="0" w:color="FFFFFF"/>
            </w:tcBorders>
            <w:shd w:val="clear" w:color="auto" w:fill="A6802D"/>
            <w:vAlign w:val="center"/>
          </w:tcPr>
          <w:p w14:paraId="07DAE458"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765" w:type="dxa"/>
            <w:gridSpan w:val="5"/>
            <w:tcBorders>
              <w:top w:val="double" w:sz="12" w:space="0" w:color="A6802D"/>
              <w:left w:val="nil"/>
              <w:bottom w:val="single" w:sz="12" w:space="0" w:color="FFFFFF"/>
            </w:tcBorders>
            <w:shd w:val="clear" w:color="auto" w:fill="A6802D"/>
          </w:tcPr>
          <w:p w14:paraId="7376C321" w14:textId="77777777" w:rsidR="003019E2" w:rsidRPr="008E629A" w:rsidRDefault="003019E2" w:rsidP="009D588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r>
      <w:tr w:rsidR="003019E2" w:rsidRPr="005946C5" w14:paraId="453BEDFB" w14:textId="77777777" w:rsidTr="009D5880">
        <w:trPr>
          <w:trHeight w:val="83"/>
          <w:jc w:val="center"/>
        </w:trPr>
        <w:tc>
          <w:tcPr>
            <w:tcW w:w="3685" w:type="dxa"/>
            <w:vMerge/>
            <w:tcBorders>
              <w:left w:val="nil"/>
              <w:right w:val="single" w:sz="12" w:space="0" w:color="FFFFFF"/>
            </w:tcBorders>
            <w:shd w:val="clear" w:color="auto" w:fill="A6802D"/>
            <w:vAlign w:val="center"/>
            <w:hideMark/>
          </w:tcPr>
          <w:p w14:paraId="6E70467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02"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644C8033"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541"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65DF0243"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303"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3766A71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419" w:type="dxa"/>
            <w:gridSpan w:val="2"/>
            <w:vMerge w:val="restart"/>
            <w:tcBorders>
              <w:top w:val="single" w:sz="12" w:space="0" w:color="FFFFFF" w:themeColor="background1"/>
              <w:left w:val="single" w:sz="12" w:space="0" w:color="FFFFFF" w:themeColor="background1"/>
            </w:tcBorders>
            <w:shd w:val="clear" w:color="auto" w:fill="A6802D"/>
            <w:vAlign w:val="center"/>
          </w:tcPr>
          <w:p w14:paraId="78252CF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3019E2" w:rsidRPr="005946C5" w14:paraId="01E92D1F" w14:textId="77777777" w:rsidTr="009D5880">
        <w:trPr>
          <w:trHeight w:val="28"/>
          <w:jc w:val="center"/>
        </w:trPr>
        <w:tc>
          <w:tcPr>
            <w:tcW w:w="3685" w:type="dxa"/>
            <w:vMerge/>
            <w:tcBorders>
              <w:left w:val="nil"/>
              <w:bottom w:val="triple" w:sz="12" w:space="0" w:color="A6802D"/>
              <w:right w:val="single" w:sz="12" w:space="0" w:color="FFFFFF"/>
            </w:tcBorders>
            <w:shd w:val="clear" w:color="auto" w:fill="A6802D"/>
            <w:vAlign w:val="center"/>
            <w:hideMark/>
          </w:tcPr>
          <w:p w14:paraId="27258AA1"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4346" w:type="dxa"/>
            <w:gridSpan w:val="3"/>
            <w:tcBorders>
              <w:top w:val="nil"/>
              <w:left w:val="nil"/>
              <w:bottom w:val="triple" w:sz="12" w:space="0" w:color="A6802D"/>
              <w:right w:val="single" w:sz="12" w:space="0" w:color="FFFFFF" w:themeColor="background1"/>
            </w:tcBorders>
            <w:shd w:val="clear" w:color="auto" w:fill="A6802D"/>
            <w:vAlign w:val="center"/>
          </w:tcPr>
          <w:p w14:paraId="6644112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419" w:type="dxa"/>
            <w:gridSpan w:val="2"/>
            <w:vMerge/>
            <w:tcBorders>
              <w:left w:val="single" w:sz="12" w:space="0" w:color="FFFFFF" w:themeColor="background1"/>
              <w:bottom w:val="triple" w:sz="12" w:space="0" w:color="A6802D"/>
            </w:tcBorders>
            <w:shd w:val="clear" w:color="auto" w:fill="A6802D"/>
            <w:vAlign w:val="center"/>
          </w:tcPr>
          <w:p w14:paraId="5C534775"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r>
      <w:tr w:rsidR="009575AC" w:rsidRPr="005946C5" w14:paraId="026DEF21" w14:textId="77777777" w:rsidTr="009D5880">
        <w:trPr>
          <w:trHeight w:val="283"/>
          <w:jc w:val="center"/>
        </w:trPr>
        <w:tc>
          <w:tcPr>
            <w:tcW w:w="3685" w:type="dxa"/>
            <w:tcBorders>
              <w:top w:val="triple" w:sz="12" w:space="0" w:color="A6802D"/>
              <w:left w:val="nil"/>
              <w:bottom w:val="nil"/>
              <w:right w:val="nil"/>
            </w:tcBorders>
            <w:shd w:val="clear" w:color="000000" w:fill="F2F2F2"/>
            <w:vAlign w:val="center"/>
          </w:tcPr>
          <w:p w14:paraId="6974BB07" w14:textId="5A337456" w:rsidR="009575AC" w:rsidRPr="00EB7BE0" w:rsidRDefault="009575AC" w:rsidP="009575A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Edificios no Habitacionales</w:t>
            </w:r>
          </w:p>
        </w:tc>
        <w:tc>
          <w:tcPr>
            <w:tcW w:w="1502" w:type="dxa"/>
            <w:tcBorders>
              <w:top w:val="triple" w:sz="12" w:space="0" w:color="A6802D"/>
              <w:left w:val="nil"/>
              <w:bottom w:val="nil"/>
              <w:right w:val="nil"/>
            </w:tcBorders>
            <w:shd w:val="clear" w:color="000000" w:fill="F2F2F2"/>
            <w:vAlign w:val="center"/>
          </w:tcPr>
          <w:p w14:paraId="3E37E14C" w14:textId="0C8856B7"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108,312,545,891.3</w:t>
            </w:r>
          </w:p>
        </w:tc>
        <w:tc>
          <w:tcPr>
            <w:tcW w:w="1541" w:type="dxa"/>
            <w:tcBorders>
              <w:top w:val="triple" w:sz="12" w:space="0" w:color="A6802D"/>
              <w:left w:val="nil"/>
              <w:bottom w:val="nil"/>
              <w:right w:val="nil"/>
            </w:tcBorders>
            <w:shd w:val="clear" w:color="000000" w:fill="F2F2F2"/>
            <w:vAlign w:val="center"/>
          </w:tcPr>
          <w:p w14:paraId="00CB04B8" w14:textId="5EA4F000"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sz w:val="15"/>
                <w:szCs w:val="15"/>
              </w:rPr>
              <w:t>-30,435,559,048.9</w:t>
            </w:r>
          </w:p>
        </w:tc>
        <w:tc>
          <w:tcPr>
            <w:tcW w:w="1303" w:type="dxa"/>
            <w:tcBorders>
              <w:top w:val="triple" w:sz="12" w:space="0" w:color="A6802D"/>
              <w:left w:val="nil"/>
              <w:bottom w:val="nil"/>
              <w:right w:val="nil"/>
            </w:tcBorders>
            <w:shd w:val="clear" w:color="000000" w:fill="F2F2F2"/>
            <w:vAlign w:val="center"/>
          </w:tcPr>
          <w:p w14:paraId="0780ADBC" w14:textId="37A95676"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77,876,986,842.</w:t>
            </w:r>
            <w:r w:rsidR="00E85724">
              <w:rPr>
                <w:rFonts w:ascii="Noto Sans" w:hAnsi="Noto Sans" w:cs="Noto Sans"/>
                <w:color w:val="000000"/>
                <w:sz w:val="15"/>
                <w:szCs w:val="15"/>
              </w:rPr>
              <w:t>4</w:t>
            </w:r>
          </w:p>
        </w:tc>
        <w:tc>
          <w:tcPr>
            <w:tcW w:w="1419" w:type="dxa"/>
            <w:gridSpan w:val="2"/>
            <w:tcBorders>
              <w:top w:val="triple" w:sz="12" w:space="0" w:color="A6802D"/>
              <w:left w:val="nil"/>
              <w:bottom w:val="nil"/>
              <w:right w:val="nil"/>
            </w:tcBorders>
            <w:shd w:val="clear" w:color="000000" w:fill="F2F2F2"/>
            <w:vAlign w:val="center"/>
          </w:tcPr>
          <w:p w14:paraId="6E95C330" w14:textId="5592AEED"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66.6</w:t>
            </w:r>
          </w:p>
        </w:tc>
      </w:tr>
      <w:tr w:rsidR="009575AC" w:rsidRPr="00FC0913" w14:paraId="055BF210" w14:textId="77777777" w:rsidTr="009D5880">
        <w:trPr>
          <w:trHeight w:val="283"/>
          <w:jc w:val="center"/>
        </w:trPr>
        <w:tc>
          <w:tcPr>
            <w:tcW w:w="3685" w:type="dxa"/>
            <w:tcBorders>
              <w:top w:val="nil"/>
              <w:left w:val="nil"/>
              <w:bottom w:val="nil"/>
              <w:right w:val="nil"/>
            </w:tcBorders>
            <w:shd w:val="clear" w:color="000000" w:fill="F2F2F2"/>
            <w:vAlign w:val="center"/>
          </w:tcPr>
          <w:p w14:paraId="4E7B8966" w14:textId="4A341CCE" w:rsidR="009575AC" w:rsidRPr="00EB7BE0" w:rsidRDefault="009575AC" w:rsidP="009575A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Terrenos</w:t>
            </w:r>
          </w:p>
        </w:tc>
        <w:tc>
          <w:tcPr>
            <w:tcW w:w="1502" w:type="dxa"/>
            <w:tcBorders>
              <w:top w:val="nil"/>
              <w:left w:val="nil"/>
              <w:bottom w:val="nil"/>
              <w:right w:val="nil"/>
            </w:tcBorders>
            <w:shd w:val="clear" w:color="000000" w:fill="F2F2F2"/>
            <w:vAlign w:val="center"/>
          </w:tcPr>
          <w:p w14:paraId="7452E1AD" w14:textId="65735530"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25,207,105,962.5</w:t>
            </w:r>
          </w:p>
        </w:tc>
        <w:tc>
          <w:tcPr>
            <w:tcW w:w="1541" w:type="dxa"/>
            <w:tcBorders>
              <w:top w:val="nil"/>
              <w:left w:val="nil"/>
              <w:bottom w:val="nil"/>
              <w:right w:val="nil"/>
            </w:tcBorders>
            <w:shd w:val="clear" w:color="000000" w:fill="F2F2F2"/>
            <w:vAlign w:val="center"/>
          </w:tcPr>
          <w:p w14:paraId="2AA88F9A" w14:textId="7898093D"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303" w:type="dxa"/>
            <w:tcBorders>
              <w:top w:val="nil"/>
              <w:left w:val="nil"/>
              <w:bottom w:val="nil"/>
              <w:right w:val="nil"/>
            </w:tcBorders>
            <w:shd w:val="clear" w:color="000000" w:fill="F2F2F2"/>
            <w:vAlign w:val="center"/>
          </w:tcPr>
          <w:p w14:paraId="1F99D433" w14:textId="0B5AC52C"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25,207,105,962.5</w:t>
            </w:r>
          </w:p>
        </w:tc>
        <w:tc>
          <w:tcPr>
            <w:tcW w:w="1419" w:type="dxa"/>
            <w:gridSpan w:val="2"/>
            <w:tcBorders>
              <w:top w:val="nil"/>
              <w:left w:val="nil"/>
              <w:bottom w:val="nil"/>
              <w:right w:val="nil"/>
            </w:tcBorders>
            <w:shd w:val="clear" w:color="000000" w:fill="F2F2F2"/>
            <w:vAlign w:val="center"/>
          </w:tcPr>
          <w:p w14:paraId="6B6E666A" w14:textId="77777777"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p>
        </w:tc>
      </w:tr>
      <w:tr w:rsidR="009575AC" w:rsidRPr="00FC0913" w14:paraId="6BCB2FC7" w14:textId="77777777" w:rsidTr="009D5880">
        <w:trPr>
          <w:trHeight w:val="283"/>
          <w:jc w:val="center"/>
        </w:trPr>
        <w:tc>
          <w:tcPr>
            <w:tcW w:w="3685" w:type="dxa"/>
            <w:tcBorders>
              <w:top w:val="nil"/>
              <w:left w:val="nil"/>
              <w:bottom w:val="nil"/>
              <w:right w:val="nil"/>
            </w:tcBorders>
            <w:shd w:val="clear" w:color="000000" w:fill="F2F2F2"/>
            <w:vAlign w:val="center"/>
          </w:tcPr>
          <w:p w14:paraId="3362058A" w14:textId="4C670FB8" w:rsidR="009575AC" w:rsidRPr="00EB7BE0" w:rsidRDefault="009575AC" w:rsidP="009575A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Construcciones en Proceso en Bienes Propios</w:t>
            </w:r>
          </w:p>
        </w:tc>
        <w:tc>
          <w:tcPr>
            <w:tcW w:w="1502" w:type="dxa"/>
            <w:tcBorders>
              <w:top w:val="nil"/>
              <w:left w:val="nil"/>
              <w:bottom w:val="nil"/>
              <w:right w:val="nil"/>
            </w:tcBorders>
            <w:shd w:val="clear" w:color="000000" w:fill="F2F2F2"/>
            <w:vAlign w:val="center"/>
          </w:tcPr>
          <w:p w14:paraId="527B3BAD" w14:textId="149800CF"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11,652,418,451.5</w:t>
            </w:r>
          </w:p>
        </w:tc>
        <w:tc>
          <w:tcPr>
            <w:tcW w:w="1541" w:type="dxa"/>
            <w:tcBorders>
              <w:top w:val="nil"/>
              <w:left w:val="nil"/>
              <w:bottom w:val="nil"/>
              <w:right w:val="nil"/>
            </w:tcBorders>
            <w:shd w:val="clear" w:color="000000" w:fill="F2F2F2"/>
            <w:vAlign w:val="center"/>
          </w:tcPr>
          <w:p w14:paraId="5CAD2CB2" w14:textId="7BA74FCF"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303" w:type="dxa"/>
            <w:tcBorders>
              <w:top w:val="nil"/>
              <w:left w:val="nil"/>
              <w:bottom w:val="nil"/>
              <w:right w:val="nil"/>
            </w:tcBorders>
            <w:shd w:val="clear" w:color="000000" w:fill="F2F2F2"/>
            <w:vAlign w:val="center"/>
          </w:tcPr>
          <w:p w14:paraId="7A988220" w14:textId="344AED65"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11,652,418,451.5</w:t>
            </w:r>
          </w:p>
        </w:tc>
        <w:tc>
          <w:tcPr>
            <w:tcW w:w="1419" w:type="dxa"/>
            <w:gridSpan w:val="2"/>
            <w:tcBorders>
              <w:top w:val="nil"/>
              <w:left w:val="nil"/>
              <w:bottom w:val="nil"/>
              <w:right w:val="nil"/>
            </w:tcBorders>
            <w:shd w:val="clear" w:color="000000" w:fill="F2F2F2"/>
            <w:vAlign w:val="center"/>
          </w:tcPr>
          <w:p w14:paraId="47C5012E" w14:textId="77777777" w:rsidR="009575AC" w:rsidRPr="00EB7BE0" w:rsidRDefault="009575AC" w:rsidP="009575AC">
            <w:pPr>
              <w:spacing w:after="0" w:line="240" w:lineRule="auto"/>
              <w:jc w:val="right"/>
              <w:rPr>
                <w:rFonts w:ascii="Noto Sans" w:eastAsia="Times New Roman" w:hAnsi="Noto Sans" w:cs="Noto Sans"/>
                <w:color w:val="000000"/>
                <w:sz w:val="15"/>
                <w:szCs w:val="15"/>
                <w:lang w:eastAsia="es-MX"/>
              </w:rPr>
            </w:pPr>
          </w:p>
        </w:tc>
      </w:tr>
      <w:tr w:rsidR="009575AC" w:rsidRPr="005946C5" w14:paraId="387B42EC" w14:textId="77777777" w:rsidTr="009D5880">
        <w:trPr>
          <w:trHeight w:val="283"/>
          <w:jc w:val="center"/>
        </w:trPr>
        <w:tc>
          <w:tcPr>
            <w:tcW w:w="3685" w:type="dxa"/>
            <w:tcBorders>
              <w:top w:val="nil"/>
              <w:left w:val="nil"/>
              <w:bottom w:val="single" w:sz="12" w:space="0" w:color="A6802D"/>
              <w:right w:val="nil"/>
            </w:tcBorders>
            <w:shd w:val="clear" w:color="000000" w:fill="F2F2F2"/>
            <w:vAlign w:val="center"/>
          </w:tcPr>
          <w:p w14:paraId="6CF4DEF9" w14:textId="379F619D" w:rsidR="009575AC" w:rsidRPr="00EB7BE0" w:rsidRDefault="009575AC" w:rsidP="009575AC">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Bienes Inmuebles, Infraestructura y Construcciones en Proceso</w:t>
            </w:r>
          </w:p>
        </w:tc>
        <w:tc>
          <w:tcPr>
            <w:tcW w:w="1502" w:type="dxa"/>
            <w:tcBorders>
              <w:top w:val="nil"/>
              <w:left w:val="nil"/>
              <w:bottom w:val="single" w:sz="12" w:space="0" w:color="A6802D"/>
              <w:right w:val="nil"/>
            </w:tcBorders>
            <w:shd w:val="clear" w:color="000000" w:fill="F2F2F2"/>
            <w:vAlign w:val="center"/>
          </w:tcPr>
          <w:p w14:paraId="091AF610" w14:textId="2663CE08" w:rsidR="009575AC" w:rsidRPr="00EB7BE0" w:rsidRDefault="009575AC" w:rsidP="009575A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145,172,070,305.3</w:t>
            </w:r>
          </w:p>
        </w:tc>
        <w:tc>
          <w:tcPr>
            <w:tcW w:w="1541" w:type="dxa"/>
            <w:tcBorders>
              <w:top w:val="nil"/>
              <w:left w:val="nil"/>
              <w:bottom w:val="single" w:sz="12" w:space="0" w:color="A6802D"/>
              <w:right w:val="nil"/>
            </w:tcBorders>
            <w:shd w:val="clear" w:color="000000" w:fill="F2F2F2"/>
            <w:vAlign w:val="center"/>
          </w:tcPr>
          <w:p w14:paraId="6A5E842C" w14:textId="5CADB2B5" w:rsidR="009575AC" w:rsidRPr="00EB7BE0" w:rsidRDefault="009575AC" w:rsidP="009575A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-30,435,559,048.9</w:t>
            </w:r>
          </w:p>
        </w:tc>
        <w:tc>
          <w:tcPr>
            <w:tcW w:w="1303" w:type="dxa"/>
            <w:tcBorders>
              <w:top w:val="nil"/>
              <w:left w:val="nil"/>
              <w:bottom w:val="single" w:sz="12" w:space="0" w:color="A6802D"/>
              <w:right w:val="nil"/>
            </w:tcBorders>
            <w:shd w:val="clear" w:color="000000" w:fill="F2F2F2"/>
            <w:vAlign w:val="center"/>
          </w:tcPr>
          <w:p w14:paraId="47018D4F" w14:textId="5FA86203" w:rsidR="009575AC" w:rsidRPr="00EB7BE0" w:rsidRDefault="009575AC" w:rsidP="009575A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114,736,511,256.</w:t>
            </w:r>
            <w:r w:rsidR="00E85724">
              <w:rPr>
                <w:rFonts w:ascii="Noto Sans" w:hAnsi="Noto Sans" w:cs="Noto Sans"/>
                <w:b/>
                <w:bCs/>
                <w:color w:val="000000"/>
                <w:sz w:val="15"/>
                <w:szCs w:val="15"/>
              </w:rPr>
              <w:t>4</w:t>
            </w:r>
          </w:p>
        </w:tc>
        <w:tc>
          <w:tcPr>
            <w:tcW w:w="1419" w:type="dxa"/>
            <w:gridSpan w:val="2"/>
            <w:tcBorders>
              <w:top w:val="nil"/>
              <w:left w:val="nil"/>
              <w:bottom w:val="single" w:sz="12" w:space="0" w:color="A6802D"/>
              <w:right w:val="nil"/>
            </w:tcBorders>
            <w:shd w:val="clear" w:color="000000" w:fill="F2F2F2"/>
            <w:vAlign w:val="center"/>
          </w:tcPr>
          <w:p w14:paraId="2196FD2C" w14:textId="77777777" w:rsidR="009575AC" w:rsidRPr="00EB7BE0" w:rsidRDefault="009575AC" w:rsidP="009575AC">
            <w:pPr>
              <w:spacing w:after="0" w:line="240" w:lineRule="auto"/>
              <w:jc w:val="right"/>
              <w:rPr>
                <w:rFonts w:ascii="Noto Sans" w:eastAsia="Times New Roman" w:hAnsi="Noto Sans" w:cs="Noto Sans"/>
                <w:b/>
                <w:bCs/>
                <w:color w:val="000000"/>
                <w:sz w:val="15"/>
                <w:szCs w:val="15"/>
                <w:lang w:eastAsia="es-MX"/>
              </w:rPr>
            </w:pPr>
          </w:p>
        </w:tc>
      </w:tr>
      <w:tr w:rsidR="003019E2" w:rsidRPr="00274555" w14:paraId="396BB06C" w14:textId="77777777" w:rsidTr="009D5880">
        <w:trPr>
          <w:gridAfter w:val="1"/>
          <w:wAfter w:w="57" w:type="dxa"/>
          <w:trHeight w:val="226"/>
          <w:jc w:val="center"/>
        </w:trPr>
        <w:tc>
          <w:tcPr>
            <w:tcW w:w="9393" w:type="dxa"/>
            <w:gridSpan w:val="5"/>
            <w:tcBorders>
              <w:top w:val="single" w:sz="12" w:space="0" w:color="A6802D"/>
              <w:left w:val="nil"/>
              <w:right w:val="nil"/>
            </w:tcBorders>
            <w:vAlign w:val="center"/>
          </w:tcPr>
          <w:p w14:paraId="6BC32B94" w14:textId="77777777" w:rsidR="003019E2" w:rsidRPr="00274555" w:rsidRDefault="003019E2" w:rsidP="00FD2CDA">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1F5FF0D" w14:textId="77777777" w:rsidR="00152212" w:rsidRDefault="00152212" w:rsidP="00152212">
      <w:pPr>
        <w:pStyle w:val="TEXTONORMAL"/>
      </w:pPr>
    </w:p>
    <w:tbl>
      <w:tblPr>
        <w:tblW w:w="0" w:type="auto"/>
        <w:jc w:val="center"/>
        <w:tblCellMar>
          <w:left w:w="70" w:type="dxa"/>
          <w:right w:w="70" w:type="dxa"/>
        </w:tblCellMar>
        <w:tblLook w:val="0480" w:firstRow="0" w:lastRow="0" w:firstColumn="1" w:lastColumn="0" w:noHBand="0" w:noVBand="1"/>
      </w:tblPr>
      <w:tblGrid>
        <w:gridCol w:w="3685"/>
        <w:gridCol w:w="1427"/>
        <w:gridCol w:w="1417"/>
        <w:gridCol w:w="1427"/>
        <w:gridCol w:w="1362"/>
        <w:gridCol w:w="57"/>
      </w:tblGrid>
      <w:tr w:rsidR="00EB7BE0" w:rsidRPr="005946C5" w14:paraId="7420B8BC" w14:textId="77777777" w:rsidTr="00EB7BE0">
        <w:trPr>
          <w:trHeight w:val="83"/>
          <w:jc w:val="center"/>
        </w:trPr>
        <w:tc>
          <w:tcPr>
            <w:tcW w:w="3685" w:type="dxa"/>
            <w:vMerge w:val="restart"/>
            <w:tcBorders>
              <w:top w:val="double" w:sz="12" w:space="0" w:color="A6802D"/>
              <w:left w:val="nil"/>
              <w:right w:val="single" w:sz="12" w:space="0" w:color="FFFFFF"/>
            </w:tcBorders>
            <w:shd w:val="clear" w:color="auto" w:fill="A6802D"/>
            <w:vAlign w:val="center"/>
          </w:tcPr>
          <w:p w14:paraId="05469B79"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670" w:type="dxa"/>
            <w:gridSpan w:val="5"/>
            <w:tcBorders>
              <w:top w:val="double" w:sz="12" w:space="0" w:color="A6802D"/>
              <w:left w:val="nil"/>
              <w:bottom w:val="single" w:sz="12" w:space="0" w:color="FFFFFF"/>
            </w:tcBorders>
            <w:shd w:val="clear" w:color="auto" w:fill="A6802D"/>
            <w:vAlign w:val="center"/>
          </w:tcPr>
          <w:p w14:paraId="00C72D47"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EB7BE0" w:rsidRPr="005946C5" w14:paraId="79A086A1" w14:textId="77777777" w:rsidTr="00DD31D5">
        <w:trPr>
          <w:trHeight w:val="83"/>
          <w:jc w:val="center"/>
        </w:trPr>
        <w:tc>
          <w:tcPr>
            <w:tcW w:w="3685" w:type="dxa"/>
            <w:vMerge/>
            <w:tcBorders>
              <w:left w:val="nil"/>
              <w:right w:val="single" w:sz="12" w:space="0" w:color="FFFFFF"/>
            </w:tcBorders>
            <w:shd w:val="clear" w:color="auto" w:fill="A6802D"/>
            <w:vAlign w:val="center"/>
            <w:hideMark/>
          </w:tcPr>
          <w:p w14:paraId="265BEA21"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p>
        </w:tc>
        <w:tc>
          <w:tcPr>
            <w:tcW w:w="1417"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2F31AD4F"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41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1FD287D1"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41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6AB127C7"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419" w:type="dxa"/>
            <w:gridSpan w:val="2"/>
            <w:vMerge w:val="restart"/>
            <w:tcBorders>
              <w:top w:val="single" w:sz="12" w:space="0" w:color="FFFFFF" w:themeColor="background1"/>
              <w:left w:val="single" w:sz="12" w:space="0" w:color="FFFFFF" w:themeColor="background1"/>
            </w:tcBorders>
            <w:shd w:val="clear" w:color="auto" w:fill="A6802D"/>
            <w:vAlign w:val="center"/>
          </w:tcPr>
          <w:p w14:paraId="294FE8BE"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EB7BE0" w:rsidRPr="005946C5" w14:paraId="0F3E82A6" w14:textId="77777777" w:rsidTr="00EB7BE0">
        <w:trPr>
          <w:trHeight w:val="28"/>
          <w:jc w:val="center"/>
        </w:trPr>
        <w:tc>
          <w:tcPr>
            <w:tcW w:w="3685" w:type="dxa"/>
            <w:vMerge/>
            <w:tcBorders>
              <w:left w:val="nil"/>
              <w:bottom w:val="triple" w:sz="12" w:space="0" w:color="A6802D"/>
              <w:right w:val="single" w:sz="12" w:space="0" w:color="FFFFFF"/>
            </w:tcBorders>
            <w:shd w:val="clear" w:color="auto" w:fill="A6802D"/>
            <w:vAlign w:val="center"/>
            <w:hideMark/>
          </w:tcPr>
          <w:p w14:paraId="1E59C4E1"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p>
        </w:tc>
        <w:tc>
          <w:tcPr>
            <w:tcW w:w="4251" w:type="dxa"/>
            <w:gridSpan w:val="3"/>
            <w:tcBorders>
              <w:top w:val="nil"/>
              <w:left w:val="nil"/>
              <w:bottom w:val="triple" w:sz="12" w:space="0" w:color="A6802D"/>
              <w:right w:val="single" w:sz="12" w:space="0" w:color="FFFFFF" w:themeColor="background1"/>
            </w:tcBorders>
            <w:shd w:val="clear" w:color="auto" w:fill="A6802D"/>
            <w:vAlign w:val="center"/>
          </w:tcPr>
          <w:p w14:paraId="74E29EE9"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419" w:type="dxa"/>
            <w:gridSpan w:val="2"/>
            <w:vMerge/>
            <w:tcBorders>
              <w:left w:val="single" w:sz="12" w:space="0" w:color="FFFFFF" w:themeColor="background1"/>
              <w:bottom w:val="triple" w:sz="12" w:space="0" w:color="A6802D"/>
            </w:tcBorders>
            <w:shd w:val="clear" w:color="auto" w:fill="A6802D"/>
            <w:vAlign w:val="center"/>
          </w:tcPr>
          <w:p w14:paraId="34F7532C" w14:textId="77777777" w:rsidR="00EB7BE0" w:rsidRPr="008E629A" w:rsidRDefault="00EB7BE0" w:rsidP="00EB7BE0">
            <w:pPr>
              <w:spacing w:after="0" w:line="240" w:lineRule="exact"/>
              <w:jc w:val="center"/>
              <w:rPr>
                <w:rFonts w:ascii="Noto Sans" w:eastAsia="Times New Roman" w:hAnsi="Noto Sans" w:cs="Noto Sans"/>
                <w:b/>
                <w:bCs/>
                <w:color w:val="FFFFFF"/>
                <w:sz w:val="16"/>
                <w:szCs w:val="16"/>
                <w:lang w:eastAsia="es-MX"/>
              </w:rPr>
            </w:pPr>
          </w:p>
        </w:tc>
      </w:tr>
      <w:tr w:rsidR="00EB7BE0" w:rsidRPr="005946C5" w14:paraId="42088756" w14:textId="77777777" w:rsidTr="00253FAD">
        <w:trPr>
          <w:trHeight w:val="283"/>
          <w:jc w:val="center"/>
        </w:trPr>
        <w:tc>
          <w:tcPr>
            <w:tcW w:w="3685" w:type="dxa"/>
            <w:tcBorders>
              <w:top w:val="triple" w:sz="12" w:space="0" w:color="A6802D"/>
              <w:left w:val="nil"/>
              <w:bottom w:val="nil"/>
              <w:right w:val="nil"/>
            </w:tcBorders>
            <w:shd w:val="clear" w:color="000000" w:fill="F2F2F2"/>
            <w:vAlign w:val="center"/>
          </w:tcPr>
          <w:p w14:paraId="6C26CE9A" w14:textId="77777777" w:rsidR="00EB7BE0" w:rsidRPr="00EB7BE0" w:rsidRDefault="00EB7BE0" w:rsidP="00DD31D5">
            <w:pPr>
              <w:spacing w:after="0" w:line="240" w:lineRule="auto"/>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Edificios no Habitacionales</w:t>
            </w:r>
          </w:p>
        </w:tc>
        <w:tc>
          <w:tcPr>
            <w:tcW w:w="1417" w:type="dxa"/>
            <w:tcBorders>
              <w:top w:val="triple" w:sz="12" w:space="0" w:color="A6802D"/>
              <w:left w:val="nil"/>
              <w:bottom w:val="nil"/>
              <w:right w:val="nil"/>
            </w:tcBorders>
            <w:shd w:val="clear" w:color="000000" w:fill="F2F2F2"/>
            <w:vAlign w:val="center"/>
          </w:tcPr>
          <w:p w14:paraId="27D0E1E8"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105,910,616,266.7</w:t>
            </w:r>
          </w:p>
        </w:tc>
        <w:tc>
          <w:tcPr>
            <w:tcW w:w="1417" w:type="dxa"/>
            <w:tcBorders>
              <w:top w:val="triple" w:sz="12" w:space="0" w:color="A6802D"/>
              <w:left w:val="nil"/>
              <w:bottom w:val="nil"/>
              <w:right w:val="nil"/>
            </w:tcBorders>
            <w:shd w:val="clear" w:color="000000" w:fill="F2F2F2"/>
            <w:vAlign w:val="center"/>
          </w:tcPr>
          <w:p w14:paraId="137753C8"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-30,047,933,628.2</w:t>
            </w:r>
          </w:p>
        </w:tc>
        <w:tc>
          <w:tcPr>
            <w:tcW w:w="1417" w:type="dxa"/>
            <w:tcBorders>
              <w:top w:val="triple" w:sz="12" w:space="0" w:color="A6802D"/>
              <w:left w:val="nil"/>
              <w:bottom w:val="nil"/>
              <w:right w:val="nil"/>
            </w:tcBorders>
            <w:shd w:val="clear" w:color="000000" w:fill="F2F2F2"/>
            <w:vAlign w:val="center"/>
          </w:tcPr>
          <w:p w14:paraId="63D5D29B"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75,862,682,638.5</w:t>
            </w:r>
          </w:p>
        </w:tc>
        <w:tc>
          <w:tcPr>
            <w:tcW w:w="1419" w:type="dxa"/>
            <w:gridSpan w:val="2"/>
            <w:tcBorders>
              <w:top w:val="triple" w:sz="12" w:space="0" w:color="A6802D"/>
              <w:left w:val="nil"/>
              <w:bottom w:val="nil"/>
              <w:right w:val="nil"/>
            </w:tcBorders>
            <w:shd w:val="clear" w:color="000000" w:fill="F2F2F2"/>
            <w:vAlign w:val="center"/>
          </w:tcPr>
          <w:p w14:paraId="1CFD71EE"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66.6</w:t>
            </w:r>
          </w:p>
        </w:tc>
      </w:tr>
      <w:tr w:rsidR="00EB7BE0" w:rsidRPr="00FC0913" w14:paraId="7BF6B3F6" w14:textId="77777777" w:rsidTr="00253FAD">
        <w:trPr>
          <w:trHeight w:val="283"/>
          <w:jc w:val="center"/>
        </w:trPr>
        <w:tc>
          <w:tcPr>
            <w:tcW w:w="3685" w:type="dxa"/>
            <w:tcBorders>
              <w:top w:val="nil"/>
              <w:left w:val="nil"/>
              <w:bottom w:val="nil"/>
              <w:right w:val="nil"/>
            </w:tcBorders>
            <w:shd w:val="clear" w:color="000000" w:fill="F2F2F2"/>
            <w:vAlign w:val="center"/>
          </w:tcPr>
          <w:p w14:paraId="5C3CB9D8" w14:textId="77777777" w:rsidR="00EB7BE0" w:rsidRPr="00EB7BE0" w:rsidRDefault="00EB7BE0" w:rsidP="00DD31D5">
            <w:pPr>
              <w:spacing w:after="0" w:line="240" w:lineRule="auto"/>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Terrenos</w:t>
            </w:r>
          </w:p>
        </w:tc>
        <w:tc>
          <w:tcPr>
            <w:tcW w:w="1417" w:type="dxa"/>
            <w:tcBorders>
              <w:top w:val="nil"/>
              <w:left w:val="nil"/>
              <w:bottom w:val="nil"/>
              <w:right w:val="nil"/>
            </w:tcBorders>
            <w:shd w:val="clear" w:color="000000" w:fill="F2F2F2"/>
            <w:vAlign w:val="center"/>
          </w:tcPr>
          <w:p w14:paraId="20B277E0"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24,488,797,896.5</w:t>
            </w:r>
          </w:p>
        </w:tc>
        <w:tc>
          <w:tcPr>
            <w:tcW w:w="1417" w:type="dxa"/>
            <w:tcBorders>
              <w:top w:val="nil"/>
              <w:left w:val="nil"/>
              <w:bottom w:val="nil"/>
              <w:right w:val="nil"/>
            </w:tcBorders>
            <w:shd w:val="clear" w:color="000000" w:fill="F2F2F2"/>
            <w:vAlign w:val="center"/>
          </w:tcPr>
          <w:p w14:paraId="79AD8F22"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0.0</w:t>
            </w:r>
          </w:p>
        </w:tc>
        <w:tc>
          <w:tcPr>
            <w:tcW w:w="1417" w:type="dxa"/>
            <w:tcBorders>
              <w:top w:val="nil"/>
              <w:left w:val="nil"/>
              <w:bottom w:val="nil"/>
              <w:right w:val="nil"/>
            </w:tcBorders>
            <w:shd w:val="clear" w:color="000000" w:fill="F2F2F2"/>
            <w:vAlign w:val="center"/>
          </w:tcPr>
          <w:p w14:paraId="1259057D"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24,488,797,896.5</w:t>
            </w:r>
          </w:p>
        </w:tc>
        <w:tc>
          <w:tcPr>
            <w:tcW w:w="1419" w:type="dxa"/>
            <w:gridSpan w:val="2"/>
            <w:tcBorders>
              <w:top w:val="nil"/>
              <w:left w:val="nil"/>
              <w:bottom w:val="nil"/>
              <w:right w:val="nil"/>
            </w:tcBorders>
            <w:shd w:val="clear" w:color="000000" w:fill="F2F2F2"/>
            <w:vAlign w:val="center"/>
          </w:tcPr>
          <w:p w14:paraId="7C3442E1"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 </w:t>
            </w:r>
          </w:p>
        </w:tc>
      </w:tr>
      <w:tr w:rsidR="00EB7BE0" w:rsidRPr="00FC0913" w14:paraId="4850DA22" w14:textId="77777777" w:rsidTr="00253FAD">
        <w:trPr>
          <w:trHeight w:val="283"/>
          <w:jc w:val="center"/>
        </w:trPr>
        <w:tc>
          <w:tcPr>
            <w:tcW w:w="3685" w:type="dxa"/>
            <w:tcBorders>
              <w:top w:val="nil"/>
              <w:left w:val="nil"/>
              <w:bottom w:val="nil"/>
              <w:right w:val="nil"/>
            </w:tcBorders>
            <w:shd w:val="clear" w:color="000000" w:fill="F2F2F2"/>
            <w:vAlign w:val="center"/>
          </w:tcPr>
          <w:p w14:paraId="4262D8E2" w14:textId="77777777" w:rsidR="00EB7BE0" w:rsidRPr="00EB7BE0" w:rsidRDefault="00EB7BE0" w:rsidP="00DD31D5">
            <w:pPr>
              <w:spacing w:after="0" w:line="240" w:lineRule="auto"/>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Construcciones en Proceso en Bienes Propios</w:t>
            </w:r>
          </w:p>
        </w:tc>
        <w:tc>
          <w:tcPr>
            <w:tcW w:w="1417" w:type="dxa"/>
            <w:tcBorders>
              <w:top w:val="nil"/>
              <w:left w:val="nil"/>
              <w:bottom w:val="nil"/>
              <w:right w:val="nil"/>
            </w:tcBorders>
            <w:shd w:val="clear" w:color="000000" w:fill="F2F2F2"/>
            <w:vAlign w:val="center"/>
          </w:tcPr>
          <w:p w14:paraId="65271AF5"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12,760,418,990.7</w:t>
            </w:r>
          </w:p>
        </w:tc>
        <w:tc>
          <w:tcPr>
            <w:tcW w:w="1417" w:type="dxa"/>
            <w:tcBorders>
              <w:top w:val="nil"/>
              <w:left w:val="nil"/>
              <w:bottom w:val="nil"/>
              <w:right w:val="nil"/>
            </w:tcBorders>
            <w:shd w:val="clear" w:color="000000" w:fill="F2F2F2"/>
            <w:vAlign w:val="center"/>
          </w:tcPr>
          <w:p w14:paraId="28422670"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0.0</w:t>
            </w:r>
          </w:p>
        </w:tc>
        <w:tc>
          <w:tcPr>
            <w:tcW w:w="1417" w:type="dxa"/>
            <w:tcBorders>
              <w:top w:val="nil"/>
              <w:left w:val="nil"/>
              <w:bottom w:val="nil"/>
              <w:right w:val="nil"/>
            </w:tcBorders>
            <w:shd w:val="clear" w:color="000000" w:fill="F2F2F2"/>
            <w:vAlign w:val="center"/>
          </w:tcPr>
          <w:p w14:paraId="0CC94CB7"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12,760,418,990.7</w:t>
            </w:r>
          </w:p>
        </w:tc>
        <w:tc>
          <w:tcPr>
            <w:tcW w:w="1419" w:type="dxa"/>
            <w:gridSpan w:val="2"/>
            <w:tcBorders>
              <w:top w:val="nil"/>
              <w:left w:val="nil"/>
              <w:bottom w:val="nil"/>
              <w:right w:val="nil"/>
            </w:tcBorders>
            <w:shd w:val="clear" w:color="000000" w:fill="F2F2F2"/>
            <w:vAlign w:val="center"/>
          </w:tcPr>
          <w:p w14:paraId="2190BA89" w14:textId="77777777" w:rsidR="00EB7BE0" w:rsidRPr="00EB7BE0" w:rsidRDefault="00EB7BE0" w:rsidP="00EB7BE0">
            <w:pPr>
              <w:spacing w:after="0" w:line="240" w:lineRule="auto"/>
              <w:jc w:val="right"/>
              <w:rPr>
                <w:rFonts w:ascii="Noto Sans" w:eastAsia="Times New Roman" w:hAnsi="Noto Sans" w:cs="Noto Sans"/>
                <w:color w:val="000000"/>
                <w:sz w:val="15"/>
                <w:szCs w:val="15"/>
                <w:lang w:eastAsia="es-MX"/>
              </w:rPr>
            </w:pPr>
            <w:r w:rsidRPr="00EB7BE0">
              <w:rPr>
                <w:rFonts w:ascii="Noto Sans" w:eastAsia="Times New Roman" w:hAnsi="Noto Sans" w:cs="Noto Sans"/>
                <w:color w:val="000000"/>
                <w:sz w:val="15"/>
                <w:szCs w:val="15"/>
                <w:lang w:eastAsia="es-MX"/>
              </w:rPr>
              <w:t> </w:t>
            </w:r>
          </w:p>
        </w:tc>
      </w:tr>
      <w:tr w:rsidR="00EB7BE0" w:rsidRPr="005946C5" w14:paraId="6A265DF6" w14:textId="77777777" w:rsidTr="00253FAD">
        <w:trPr>
          <w:trHeight w:val="283"/>
          <w:jc w:val="center"/>
        </w:trPr>
        <w:tc>
          <w:tcPr>
            <w:tcW w:w="3685" w:type="dxa"/>
            <w:tcBorders>
              <w:top w:val="nil"/>
              <w:left w:val="nil"/>
              <w:bottom w:val="single" w:sz="12" w:space="0" w:color="A6802D"/>
              <w:right w:val="nil"/>
            </w:tcBorders>
            <w:shd w:val="clear" w:color="000000" w:fill="F2F2F2"/>
            <w:vAlign w:val="center"/>
          </w:tcPr>
          <w:p w14:paraId="60CD2550" w14:textId="77777777" w:rsidR="00EB7BE0" w:rsidRPr="00EB7BE0" w:rsidRDefault="00EB7BE0" w:rsidP="00DD31D5">
            <w:pPr>
              <w:spacing w:after="0" w:line="240" w:lineRule="auto"/>
              <w:rPr>
                <w:rFonts w:ascii="Noto Sans" w:eastAsia="Times New Roman" w:hAnsi="Noto Sans" w:cs="Noto Sans"/>
                <w:b/>
                <w:bCs/>
                <w:color w:val="000000"/>
                <w:sz w:val="15"/>
                <w:szCs w:val="15"/>
                <w:lang w:eastAsia="es-MX"/>
              </w:rPr>
            </w:pPr>
            <w:proofErr w:type="gramStart"/>
            <w:r w:rsidRPr="00EB7BE0">
              <w:rPr>
                <w:rFonts w:ascii="Noto Sans" w:eastAsia="Times New Roman" w:hAnsi="Noto Sans" w:cs="Noto Sans"/>
                <w:b/>
                <w:bCs/>
                <w:color w:val="000000"/>
                <w:sz w:val="15"/>
                <w:szCs w:val="15"/>
                <w:lang w:eastAsia="es-MX"/>
              </w:rPr>
              <w:t>Total</w:t>
            </w:r>
            <w:proofErr w:type="gramEnd"/>
            <w:r w:rsidRPr="00EB7BE0">
              <w:rPr>
                <w:rFonts w:ascii="Noto Sans" w:eastAsia="Times New Roman" w:hAnsi="Noto Sans" w:cs="Noto Sans"/>
                <w:b/>
                <w:bCs/>
                <w:color w:val="000000"/>
                <w:sz w:val="15"/>
                <w:szCs w:val="15"/>
                <w:lang w:eastAsia="es-MX"/>
              </w:rPr>
              <w:t xml:space="preserve"> Bienes Inmuebles, Infraestructura y Construcciones en Proceso</w:t>
            </w:r>
          </w:p>
        </w:tc>
        <w:tc>
          <w:tcPr>
            <w:tcW w:w="1417" w:type="dxa"/>
            <w:tcBorders>
              <w:top w:val="nil"/>
              <w:left w:val="nil"/>
              <w:bottom w:val="single" w:sz="12" w:space="0" w:color="A6802D"/>
              <w:right w:val="nil"/>
            </w:tcBorders>
            <w:shd w:val="clear" w:color="000000" w:fill="F2F2F2"/>
            <w:vAlign w:val="center"/>
          </w:tcPr>
          <w:p w14:paraId="391D5B89"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143,159,833,153.9</w:t>
            </w:r>
          </w:p>
        </w:tc>
        <w:tc>
          <w:tcPr>
            <w:tcW w:w="1417" w:type="dxa"/>
            <w:tcBorders>
              <w:top w:val="nil"/>
              <w:left w:val="nil"/>
              <w:bottom w:val="single" w:sz="12" w:space="0" w:color="A6802D"/>
              <w:right w:val="nil"/>
            </w:tcBorders>
            <w:shd w:val="clear" w:color="000000" w:fill="F2F2F2"/>
            <w:vAlign w:val="center"/>
          </w:tcPr>
          <w:p w14:paraId="364D58B5"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-30,047,933,628.2</w:t>
            </w:r>
          </w:p>
        </w:tc>
        <w:tc>
          <w:tcPr>
            <w:tcW w:w="1417" w:type="dxa"/>
            <w:tcBorders>
              <w:top w:val="nil"/>
              <w:left w:val="nil"/>
              <w:bottom w:val="single" w:sz="12" w:space="0" w:color="A6802D"/>
              <w:right w:val="nil"/>
            </w:tcBorders>
            <w:shd w:val="clear" w:color="000000" w:fill="F2F2F2"/>
            <w:vAlign w:val="center"/>
          </w:tcPr>
          <w:p w14:paraId="5050EB99"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113,111,899,525.7</w:t>
            </w:r>
          </w:p>
        </w:tc>
        <w:tc>
          <w:tcPr>
            <w:tcW w:w="1419" w:type="dxa"/>
            <w:gridSpan w:val="2"/>
            <w:tcBorders>
              <w:top w:val="nil"/>
              <w:left w:val="nil"/>
              <w:bottom w:val="single" w:sz="12" w:space="0" w:color="A6802D"/>
              <w:right w:val="nil"/>
            </w:tcBorders>
            <w:shd w:val="clear" w:color="000000" w:fill="F2F2F2"/>
            <w:vAlign w:val="center"/>
          </w:tcPr>
          <w:p w14:paraId="4B6B303C" w14:textId="77777777" w:rsidR="00EB7BE0" w:rsidRPr="00EB7BE0" w:rsidRDefault="00EB7BE0" w:rsidP="00EB7BE0">
            <w:pPr>
              <w:spacing w:after="0" w:line="240" w:lineRule="auto"/>
              <w:jc w:val="right"/>
              <w:rPr>
                <w:rFonts w:ascii="Noto Sans" w:eastAsia="Times New Roman" w:hAnsi="Noto Sans" w:cs="Noto Sans"/>
                <w:b/>
                <w:bCs/>
                <w:color w:val="000000"/>
                <w:sz w:val="15"/>
                <w:szCs w:val="15"/>
                <w:lang w:eastAsia="es-MX"/>
              </w:rPr>
            </w:pPr>
            <w:r w:rsidRPr="00EB7BE0">
              <w:rPr>
                <w:rFonts w:ascii="Noto Sans" w:eastAsia="Times New Roman" w:hAnsi="Noto Sans" w:cs="Noto Sans"/>
                <w:b/>
                <w:bCs/>
                <w:color w:val="000000"/>
                <w:sz w:val="15"/>
                <w:szCs w:val="15"/>
                <w:lang w:eastAsia="es-MX"/>
              </w:rPr>
              <w:t> </w:t>
            </w:r>
          </w:p>
        </w:tc>
      </w:tr>
      <w:tr w:rsidR="00EB7BE0" w:rsidRPr="00274555" w14:paraId="705A6645" w14:textId="77777777" w:rsidTr="00EB7BE0">
        <w:trPr>
          <w:gridAfter w:val="1"/>
          <w:wAfter w:w="57" w:type="dxa"/>
          <w:trHeight w:val="226"/>
          <w:jc w:val="center"/>
        </w:trPr>
        <w:tc>
          <w:tcPr>
            <w:tcW w:w="9298" w:type="dxa"/>
            <w:gridSpan w:val="5"/>
            <w:tcBorders>
              <w:top w:val="single" w:sz="12" w:space="0" w:color="A6802D"/>
              <w:left w:val="nil"/>
              <w:right w:val="nil"/>
            </w:tcBorders>
            <w:vAlign w:val="center"/>
          </w:tcPr>
          <w:p w14:paraId="5CEFA359" w14:textId="77777777" w:rsidR="00EB7BE0" w:rsidRPr="00274555" w:rsidRDefault="00EB7BE0"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57125635" w14:textId="77777777" w:rsidR="00B86E84" w:rsidRDefault="00B86E84" w:rsidP="00152212">
      <w:pPr>
        <w:pStyle w:val="Prrafodelista"/>
        <w:spacing w:after="120" w:line="250" w:lineRule="exact"/>
        <w:rPr>
          <w:rFonts w:ascii="Noto Sans" w:hAnsi="Noto Sans" w:cs="Noto Sans"/>
          <w:sz w:val="18"/>
          <w:szCs w:val="18"/>
        </w:rPr>
      </w:pPr>
    </w:p>
    <w:p w14:paraId="785EA9E0" w14:textId="77777777" w:rsidR="00253FAD" w:rsidRDefault="00EB7BE0" w:rsidP="00EB7BE0">
      <w:pPr>
        <w:pStyle w:val="TEXTONORMAL"/>
        <w:rPr>
          <w:rFonts w:cs="Noto Sans"/>
        </w:rPr>
      </w:pPr>
      <w:r w:rsidRPr="00EB7BE0">
        <w:rPr>
          <w:rFonts w:cs="Noto Sans"/>
        </w:rPr>
        <w:t>Los inmuebles con base al artículo 285 de la LSS, se consideran destinados al servicio público de carácter nacional del Seguro Social y tendrán el carácter de bienes de dominio público de la Federación, toda vez que, solo se podría disponer de ellos para cumplir con los fines previstos en la LSS y garantizar su viabilidad financiera en el largo plazo. Estos inmuebles; así como el mobiliario y equipo, se reconocen inicialmente a su valor de adquisición.</w:t>
      </w:r>
    </w:p>
    <w:p w14:paraId="77090D57" w14:textId="77777777" w:rsidR="00D730B0" w:rsidRDefault="00D730B0" w:rsidP="00EB7BE0">
      <w:pPr>
        <w:pStyle w:val="TEXTONORMAL"/>
        <w:rPr>
          <w:rFonts w:cs="Noto Sans"/>
        </w:rPr>
      </w:pPr>
    </w:p>
    <w:p w14:paraId="2649EC5D" w14:textId="77777777" w:rsidR="00D730B0" w:rsidRDefault="00D730B0" w:rsidP="00EB7BE0">
      <w:pPr>
        <w:pStyle w:val="TEXTONORMAL"/>
        <w:rPr>
          <w:rFonts w:cs="Noto Sans"/>
        </w:rPr>
      </w:pPr>
    </w:p>
    <w:p w14:paraId="62A7F9B9" w14:textId="77777777" w:rsidR="00253FAD" w:rsidRPr="00EB7BE0" w:rsidRDefault="00253FAD" w:rsidP="005D0AAE">
      <w:pPr>
        <w:pStyle w:val="TEXTONORMAL"/>
        <w:spacing w:after="0"/>
        <w:rPr>
          <w:rFonts w:cs="Noto Sans"/>
        </w:rPr>
      </w:pPr>
    </w:p>
    <w:p w14:paraId="45601345" w14:textId="77777777" w:rsidR="00F975CC" w:rsidRDefault="00253FAD" w:rsidP="00ED1D2E">
      <w:pPr>
        <w:pStyle w:val="Prrafodelista"/>
        <w:numPr>
          <w:ilvl w:val="0"/>
          <w:numId w:val="17"/>
        </w:numPr>
        <w:spacing w:after="120" w:line="250" w:lineRule="exact"/>
        <w:ind w:left="357" w:hanging="357"/>
        <w:rPr>
          <w:rFonts w:ascii="Noto Sans" w:hAnsi="Noto Sans" w:cs="Noto Sans"/>
          <w:sz w:val="18"/>
          <w:szCs w:val="18"/>
        </w:rPr>
      </w:pPr>
      <w:r>
        <w:rPr>
          <w:rFonts w:ascii="Noto Sans" w:hAnsi="Noto Sans" w:cs="Noto Sans"/>
          <w:sz w:val="18"/>
          <w:szCs w:val="18"/>
        </w:rPr>
        <w:t>3</w:t>
      </w:r>
      <w:r w:rsidR="00F975CC">
        <w:rPr>
          <w:rFonts w:ascii="Noto Sans" w:hAnsi="Noto Sans" w:cs="Noto Sans"/>
          <w:sz w:val="18"/>
          <w:szCs w:val="18"/>
        </w:rPr>
        <w:t>.10 Bienes Muebles</w:t>
      </w:r>
    </w:p>
    <w:p w14:paraId="11D01BA8" w14:textId="2EFEAEF3" w:rsidR="00F975CC" w:rsidRDefault="004C72F3" w:rsidP="00F975CC">
      <w:pPr>
        <w:pStyle w:val="TEXTONORMAL"/>
      </w:pPr>
      <w:r>
        <w:rPr>
          <w:rFonts w:cs="Noto Sans"/>
          <w:szCs w:val="18"/>
        </w:rPr>
        <w:t>A</w:t>
      </w:r>
      <w:r w:rsidRPr="000F4D76">
        <w:rPr>
          <w:rFonts w:cs="Noto Sans"/>
          <w:szCs w:val="18"/>
        </w:rPr>
        <w:t xml:space="preserve">l </w:t>
      </w:r>
      <w:r w:rsidR="00C35D40" w:rsidRPr="002B3F78">
        <w:rPr>
          <w:rFonts w:cs="Noto Sans"/>
          <w:szCs w:val="18"/>
        </w:rPr>
        <w:t>3</w:t>
      </w:r>
      <w:r w:rsidR="00C35D40">
        <w:rPr>
          <w:rFonts w:cs="Noto Sans"/>
          <w:szCs w:val="18"/>
        </w:rPr>
        <w:t>0</w:t>
      </w:r>
      <w:r w:rsidR="00C35D40" w:rsidRPr="002B3F78">
        <w:rPr>
          <w:rFonts w:cs="Noto Sans"/>
          <w:szCs w:val="18"/>
        </w:rPr>
        <w:t xml:space="preserve"> de </w:t>
      </w:r>
      <w:r w:rsidR="00C35D40">
        <w:rPr>
          <w:rFonts w:cs="Noto Sans"/>
          <w:szCs w:val="18"/>
        </w:rPr>
        <w:t>junio</w:t>
      </w:r>
      <w:r w:rsidR="00C35D40" w:rsidRPr="002B3F78">
        <w:rPr>
          <w:rFonts w:cs="Noto Sans"/>
          <w:szCs w:val="18"/>
        </w:rPr>
        <w:t xml:space="preserve"> </w:t>
      </w:r>
      <w:r w:rsidRPr="000F4D76">
        <w:rPr>
          <w:rFonts w:cs="Noto Sans"/>
          <w:szCs w:val="18"/>
        </w:rPr>
        <w:t xml:space="preserve">de 2025 y 31 de diciembre de 2024 </w:t>
      </w:r>
      <w:r w:rsidR="00F975CC" w:rsidRPr="0030177F">
        <w:t>este rubro se integra de la siguiente manera:</w:t>
      </w:r>
    </w:p>
    <w:p w14:paraId="363B5568" w14:textId="77777777" w:rsidR="003019E2" w:rsidRDefault="003019E2" w:rsidP="00F975CC">
      <w:pPr>
        <w:pStyle w:val="TEXTONORMAL"/>
      </w:pPr>
    </w:p>
    <w:tbl>
      <w:tblPr>
        <w:tblW w:w="0" w:type="auto"/>
        <w:jc w:val="center"/>
        <w:tblCellMar>
          <w:left w:w="70" w:type="dxa"/>
          <w:right w:w="70" w:type="dxa"/>
        </w:tblCellMar>
        <w:tblLook w:val="0480" w:firstRow="0" w:lastRow="0" w:firstColumn="1" w:lastColumn="0" w:noHBand="0" w:noVBand="1"/>
      </w:tblPr>
      <w:tblGrid>
        <w:gridCol w:w="3873"/>
        <w:gridCol w:w="1500"/>
        <w:gridCol w:w="1715"/>
        <w:gridCol w:w="1559"/>
        <w:gridCol w:w="1148"/>
        <w:gridCol w:w="59"/>
      </w:tblGrid>
      <w:tr w:rsidR="003019E2" w:rsidRPr="005946C5" w14:paraId="7613BB6A" w14:textId="77777777" w:rsidTr="00777470">
        <w:trPr>
          <w:trHeight w:val="76"/>
          <w:jc w:val="center"/>
        </w:trPr>
        <w:tc>
          <w:tcPr>
            <w:tcW w:w="3873" w:type="dxa"/>
            <w:vMerge w:val="restart"/>
            <w:tcBorders>
              <w:top w:val="double" w:sz="12" w:space="0" w:color="A6802D"/>
              <w:left w:val="nil"/>
              <w:right w:val="single" w:sz="12" w:space="0" w:color="FFFFFF"/>
            </w:tcBorders>
            <w:shd w:val="clear" w:color="auto" w:fill="A6802D"/>
            <w:vAlign w:val="center"/>
          </w:tcPr>
          <w:p w14:paraId="4F2A9795"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981" w:type="dxa"/>
            <w:gridSpan w:val="5"/>
            <w:tcBorders>
              <w:top w:val="double" w:sz="12" w:space="0" w:color="A6802D"/>
              <w:left w:val="nil"/>
              <w:bottom w:val="single" w:sz="12" w:space="0" w:color="FFFFFF"/>
            </w:tcBorders>
            <w:shd w:val="clear" w:color="auto" w:fill="A6802D"/>
            <w:vAlign w:val="center"/>
          </w:tcPr>
          <w:p w14:paraId="3006205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r>
      <w:tr w:rsidR="003019E2" w:rsidRPr="005946C5" w14:paraId="603B5967" w14:textId="77777777" w:rsidTr="00AE2BFC">
        <w:trPr>
          <w:trHeight w:val="76"/>
          <w:jc w:val="center"/>
        </w:trPr>
        <w:tc>
          <w:tcPr>
            <w:tcW w:w="3873" w:type="dxa"/>
            <w:vMerge/>
            <w:tcBorders>
              <w:left w:val="nil"/>
              <w:right w:val="single" w:sz="12" w:space="0" w:color="FFFFFF"/>
            </w:tcBorders>
            <w:shd w:val="clear" w:color="auto" w:fill="A6802D"/>
            <w:vAlign w:val="center"/>
            <w:hideMark/>
          </w:tcPr>
          <w:p w14:paraId="6E09BD7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1500"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06B6E7C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715"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31E6C43D"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559"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7D03372A"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207" w:type="dxa"/>
            <w:gridSpan w:val="2"/>
            <w:vMerge w:val="restart"/>
            <w:tcBorders>
              <w:top w:val="single" w:sz="12" w:space="0" w:color="FFFFFF" w:themeColor="background1"/>
              <w:left w:val="single" w:sz="12" w:space="0" w:color="FFFFFF" w:themeColor="background1"/>
            </w:tcBorders>
            <w:shd w:val="clear" w:color="auto" w:fill="A6802D"/>
            <w:vAlign w:val="center"/>
          </w:tcPr>
          <w:p w14:paraId="7F6852BF"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3019E2" w:rsidRPr="005946C5" w14:paraId="2A47DC8D" w14:textId="77777777" w:rsidTr="00AE2BFC">
        <w:trPr>
          <w:trHeight w:val="25"/>
          <w:jc w:val="center"/>
        </w:trPr>
        <w:tc>
          <w:tcPr>
            <w:tcW w:w="3873" w:type="dxa"/>
            <w:vMerge/>
            <w:tcBorders>
              <w:left w:val="nil"/>
              <w:bottom w:val="triple" w:sz="12" w:space="0" w:color="A6802D"/>
              <w:right w:val="single" w:sz="12" w:space="0" w:color="FFFFFF"/>
            </w:tcBorders>
            <w:shd w:val="clear" w:color="auto" w:fill="A6802D"/>
            <w:vAlign w:val="center"/>
            <w:hideMark/>
          </w:tcPr>
          <w:p w14:paraId="5FE1B389"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c>
          <w:tcPr>
            <w:tcW w:w="4774" w:type="dxa"/>
            <w:gridSpan w:val="3"/>
            <w:tcBorders>
              <w:top w:val="nil"/>
              <w:left w:val="nil"/>
              <w:bottom w:val="triple" w:sz="12" w:space="0" w:color="A6802D"/>
              <w:right w:val="single" w:sz="12" w:space="0" w:color="FFFFFF" w:themeColor="background1"/>
            </w:tcBorders>
            <w:shd w:val="clear" w:color="auto" w:fill="A6802D"/>
            <w:vAlign w:val="center"/>
          </w:tcPr>
          <w:p w14:paraId="70B176EB"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207" w:type="dxa"/>
            <w:gridSpan w:val="2"/>
            <w:vMerge/>
            <w:tcBorders>
              <w:left w:val="single" w:sz="12" w:space="0" w:color="FFFFFF" w:themeColor="background1"/>
              <w:bottom w:val="triple" w:sz="12" w:space="0" w:color="A6802D"/>
            </w:tcBorders>
            <w:shd w:val="clear" w:color="auto" w:fill="A6802D"/>
            <w:vAlign w:val="center"/>
          </w:tcPr>
          <w:p w14:paraId="632C01A4" w14:textId="77777777" w:rsidR="003019E2" w:rsidRPr="008E629A" w:rsidRDefault="003019E2" w:rsidP="00FD2CDA">
            <w:pPr>
              <w:spacing w:after="0" w:line="240" w:lineRule="exact"/>
              <w:jc w:val="center"/>
              <w:rPr>
                <w:rFonts w:ascii="Noto Sans" w:eastAsia="Times New Roman" w:hAnsi="Noto Sans" w:cs="Noto Sans"/>
                <w:b/>
                <w:bCs/>
                <w:color w:val="FFFFFF"/>
                <w:sz w:val="16"/>
                <w:szCs w:val="16"/>
                <w:lang w:eastAsia="es-MX"/>
              </w:rPr>
            </w:pPr>
          </w:p>
        </w:tc>
      </w:tr>
      <w:tr w:rsidR="0021484F" w:rsidRPr="005946C5" w14:paraId="68816212" w14:textId="77777777" w:rsidTr="00AE2BFC">
        <w:trPr>
          <w:trHeight w:val="260"/>
          <w:jc w:val="center"/>
        </w:trPr>
        <w:tc>
          <w:tcPr>
            <w:tcW w:w="3873" w:type="dxa"/>
            <w:tcBorders>
              <w:top w:val="triple" w:sz="12" w:space="0" w:color="A6802D"/>
              <w:left w:val="nil"/>
              <w:bottom w:val="nil"/>
              <w:right w:val="nil"/>
            </w:tcBorders>
            <w:shd w:val="clear" w:color="000000" w:fill="F2F2F2"/>
            <w:vAlign w:val="center"/>
          </w:tcPr>
          <w:p w14:paraId="21E4DD40" w14:textId="377CDF69" w:rsidR="0021484F" w:rsidRPr="00DD31D5" w:rsidRDefault="0021484F" w:rsidP="0021484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Equipo e Instrumental Médico y de Laboratorio</w:t>
            </w:r>
          </w:p>
        </w:tc>
        <w:tc>
          <w:tcPr>
            <w:tcW w:w="1500" w:type="dxa"/>
            <w:tcBorders>
              <w:top w:val="triple" w:sz="12" w:space="0" w:color="A6802D"/>
              <w:left w:val="nil"/>
              <w:bottom w:val="nil"/>
              <w:right w:val="nil"/>
            </w:tcBorders>
            <w:shd w:val="clear" w:color="000000" w:fill="F2F2F2"/>
            <w:vAlign w:val="center"/>
          </w:tcPr>
          <w:p w14:paraId="6408936D" w14:textId="327B01B7"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34,243,130,393.9</w:t>
            </w:r>
          </w:p>
        </w:tc>
        <w:tc>
          <w:tcPr>
            <w:tcW w:w="1715" w:type="dxa"/>
            <w:tcBorders>
              <w:top w:val="triple" w:sz="12" w:space="0" w:color="A6802D"/>
              <w:left w:val="nil"/>
              <w:bottom w:val="nil"/>
              <w:right w:val="nil"/>
            </w:tcBorders>
            <w:shd w:val="clear" w:color="000000" w:fill="F2F2F2"/>
            <w:vAlign w:val="center"/>
          </w:tcPr>
          <w:p w14:paraId="380C98C3" w14:textId="75C19504"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30,589,132,930.3</w:t>
            </w:r>
          </w:p>
        </w:tc>
        <w:tc>
          <w:tcPr>
            <w:tcW w:w="1559" w:type="dxa"/>
            <w:tcBorders>
              <w:top w:val="triple" w:sz="12" w:space="0" w:color="A6802D"/>
              <w:left w:val="nil"/>
              <w:bottom w:val="nil"/>
              <w:right w:val="nil"/>
            </w:tcBorders>
            <w:shd w:val="clear" w:color="000000" w:fill="F2F2F2"/>
            <w:vAlign w:val="center"/>
          </w:tcPr>
          <w:p w14:paraId="564D3459" w14:textId="1E7EBBB5"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3,653,997,463.6 </w:t>
            </w:r>
          </w:p>
        </w:tc>
        <w:tc>
          <w:tcPr>
            <w:tcW w:w="1207" w:type="dxa"/>
            <w:gridSpan w:val="2"/>
            <w:tcBorders>
              <w:top w:val="triple" w:sz="12" w:space="0" w:color="A6802D"/>
              <w:left w:val="nil"/>
              <w:bottom w:val="nil"/>
              <w:right w:val="nil"/>
            </w:tcBorders>
            <w:shd w:val="clear" w:color="000000" w:fill="F2F2F2"/>
            <w:vAlign w:val="center"/>
          </w:tcPr>
          <w:p w14:paraId="6ADE2D6B" w14:textId="43A57644"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21484F" w:rsidRPr="00FC0913" w14:paraId="4EB0B8E6" w14:textId="77777777" w:rsidTr="00AE2BFC">
        <w:trPr>
          <w:trHeight w:val="260"/>
          <w:jc w:val="center"/>
        </w:trPr>
        <w:tc>
          <w:tcPr>
            <w:tcW w:w="3873" w:type="dxa"/>
            <w:tcBorders>
              <w:top w:val="nil"/>
              <w:left w:val="nil"/>
              <w:bottom w:val="nil"/>
              <w:right w:val="nil"/>
            </w:tcBorders>
            <w:shd w:val="clear" w:color="000000" w:fill="F2F2F2"/>
            <w:vAlign w:val="center"/>
          </w:tcPr>
          <w:p w14:paraId="469C44A6" w14:textId="4FEF4E29" w:rsidR="0021484F" w:rsidRPr="00DD31D5" w:rsidRDefault="0021484F" w:rsidP="0021484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Mobiliario y Equipo de Administración</w:t>
            </w:r>
          </w:p>
        </w:tc>
        <w:tc>
          <w:tcPr>
            <w:tcW w:w="1500" w:type="dxa"/>
            <w:tcBorders>
              <w:top w:val="nil"/>
              <w:left w:val="nil"/>
              <w:bottom w:val="nil"/>
              <w:right w:val="nil"/>
            </w:tcBorders>
            <w:shd w:val="clear" w:color="000000" w:fill="F2F2F2"/>
            <w:vAlign w:val="center"/>
          </w:tcPr>
          <w:p w14:paraId="740274A9" w14:textId="33FDA39F"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21,</w:t>
            </w:r>
            <w:r>
              <w:rPr>
                <w:rFonts w:ascii="Noto Sans" w:eastAsia="Times New Roman" w:hAnsi="Noto Sans" w:cs="Noto Sans"/>
                <w:color w:val="000000"/>
                <w:sz w:val="15"/>
                <w:szCs w:val="15"/>
                <w:lang w:eastAsia="es-MX"/>
              </w:rPr>
              <w:t>256,928,820.8</w:t>
            </w:r>
          </w:p>
        </w:tc>
        <w:tc>
          <w:tcPr>
            <w:tcW w:w="1715" w:type="dxa"/>
            <w:tcBorders>
              <w:top w:val="nil"/>
              <w:left w:val="nil"/>
              <w:bottom w:val="nil"/>
              <w:right w:val="nil"/>
            </w:tcBorders>
            <w:shd w:val="clear" w:color="000000" w:fill="F2F2F2"/>
            <w:vAlign w:val="center"/>
          </w:tcPr>
          <w:p w14:paraId="1D4267DD" w14:textId="321514D4" w:rsidR="0021484F" w:rsidRPr="00777470" w:rsidRDefault="0021484F" w:rsidP="0021484F">
            <w:pPr>
              <w:spacing w:after="0" w:line="240" w:lineRule="auto"/>
              <w:jc w:val="right"/>
              <w:rPr>
                <w:rFonts w:ascii="Noto Sans" w:hAnsi="Noto Sans" w:cs="Noto Sans"/>
                <w:color w:val="000000"/>
                <w:sz w:val="15"/>
                <w:szCs w:val="15"/>
              </w:rPr>
            </w:pPr>
            <w:r w:rsidRPr="00DD31D5">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16,334,679,43</w:t>
            </w:r>
            <w:r w:rsidR="00185F7C">
              <w:rPr>
                <w:rFonts w:ascii="Noto Sans" w:eastAsia="Times New Roman" w:hAnsi="Noto Sans" w:cs="Noto Sans"/>
                <w:color w:val="000000"/>
                <w:sz w:val="15"/>
                <w:szCs w:val="15"/>
                <w:lang w:eastAsia="es-MX"/>
              </w:rPr>
              <w:t>9</w:t>
            </w:r>
            <w:r>
              <w:rPr>
                <w:rFonts w:ascii="Noto Sans" w:eastAsia="Times New Roman" w:hAnsi="Noto Sans" w:cs="Noto Sans"/>
                <w:color w:val="000000"/>
                <w:sz w:val="15"/>
                <w:szCs w:val="15"/>
                <w:lang w:eastAsia="es-MX"/>
              </w:rPr>
              <w:t>.4</w:t>
            </w:r>
          </w:p>
        </w:tc>
        <w:tc>
          <w:tcPr>
            <w:tcW w:w="1559" w:type="dxa"/>
            <w:tcBorders>
              <w:top w:val="nil"/>
              <w:left w:val="nil"/>
              <w:bottom w:val="nil"/>
              <w:right w:val="nil"/>
            </w:tcBorders>
            <w:shd w:val="clear" w:color="000000" w:fill="F2F2F2"/>
            <w:vAlign w:val="center"/>
          </w:tcPr>
          <w:p w14:paraId="1797557D" w14:textId="3ECC4C2D" w:rsidR="0021484F" w:rsidRPr="00DD31D5" w:rsidRDefault="00E713D3" w:rsidP="0021484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w:t>
            </w:r>
            <w:r w:rsidR="0021484F">
              <w:rPr>
                <w:rFonts w:ascii="Noto Sans" w:hAnsi="Noto Sans" w:cs="Noto Sans"/>
                <w:color w:val="000000"/>
                <w:sz w:val="15"/>
                <w:szCs w:val="15"/>
              </w:rPr>
              <w:t>4,922,249,38</w:t>
            </w:r>
            <w:r w:rsidR="00C16A64">
              <w:rPr>
                <w:rFonts w:ascii="Noto Sans" w:hAnsi="Noto Sans" w:cs="Noto Sans"/>
                <w:color w:val="000000"/>
                <w:sz w:val="15"/>
                <w:szCs w:val="15"/>
              </w:rPr>
              <w:t>1</w:t>
            </w:r>
            <w:r w:rsidR="0021484F">
              <w:rPr>
                <w:rFonts w:ascii="Noto Sans" w:hAnsi="Noto Sans" w:cs="Noto Sans"/>
                <w:color w:val="000000"/>
                <w:sz w:val="15"/>
                <w:szCs w:val="15"/>
              </w:rPr>
              <w:t xml:space="preserve">.4 </w:t>
            </w:r>
          </w:p>
        </w:tc>
        <w:tc>
          <w:tcPr>
            <w:tcW w:w="1207" w:type="dxa"/>
            <w:gridSpan w:val="2"/>
            <w:tcBorders>
              <w:top w:val="nil"/>
              <w:left w:val="nil"/>
              <w:bottom w:val="nil"/>
              <w:right w:val="nil"/>
            </w:tcBorders>
            <w:shd w:val="clear" w:color="000000" w:fill="F2F2F2"/>
            <w:vAlign w:val="center"/>
          </w:tcPr>
          <w:p w14:paraId="23B76BD6" w14:textId="3DB6E459"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21484F" w:rsidRPr="00FC0913" w14:paraId="07440CA0" w14:textId="77777777" w:rsidTr="00AE2BFC">
        <w:trPr>
          <w:trHeight w:val="260"/>
          <w:jc w:val="center"/>
        </w:trPr>
        <w:tc>
          <w:tcPr>
            <w:tcW w:w="3873" w:type="dxa"/>
            <w:tcBorders>
              <w:top w:val="nil"/>
              <w:left w:val="nil"/>
              <w:bottom w:val="nil"/>
              <w:right w:val="nil"/>
            </w:tcBorders>
            <w:shd w:val="clear" w:color="000000" w:fill="F2F2F2"/>
            <w:vAlign w:val="center"/>
          </w:tcPr>
          <w:p w14:paraId="6CB22652" w14:textId="49939ECE" w:rsidR="0021484F" w:rsidRPr="00DD31D5" w:rsidRDefault="0021484F" w:rsidP="0021484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Maquinaria, otros Equipos y Herramientas  </w:t>
            </w:r>
          </w:p>
        </w:tc>
        <w:tc>
          <w:tcPr>
            <w:tcW w:w="1500" w:type="dxa"/>
            <w:tcBorders>
              <w:top w:val="nil"/>
              <w:left w:val="nil"/>
              <w:bottom w:val="nil"/>
              <w:right w:val="nil"/>
            </w:tcBorders>
            <w:shd w:val="clear" w:color="000000" w:fill="F2F2F2"/>
            <w:vAlign w:val="center"/>
          </w:tcPr>
          <w:p w14:paraId="0974FEAB" w14:textId="247AD1F2"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5,937,522,316.5</w:t>
            </w:r>
          </w:p>
        </w:tc>
        <w:tc>
          <w:tcPr>
            <w:tcW w:w="1715" w:type="dxa"/>
            <w:tcBorders>
              <w:top w:val="nil"/>
              <w:left w:val="nil"/>
              <w:bottom w:val="nil"/>
              <w:right w:val="nil"/>
            </w:tcBorders>
            <w:shd w:val="clear" w:color="000000" w:fill="F2F2F2"/>
            <w:vAlign w:val="center"/>
          </w:tcPr>
          <w:p w14:paraId="685AA8BB" w14:textId="4564ED9C"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4,072,933,134.7</w:t>
            </w:r>
          </w:p>
        </w:tc>
        <w:tc>
          <w:tcPr>
            <w:tcW w:w="1559" w:type="dxa"/>
            <w:tcBorders>
              <w:top w:val="nil"/>
              <w:left w:val="nil"/>
              <w:bottom w:val="nil"/>
              <w:right w:val="nil"/>
            </w:tcBorders>
            <w:shd w:val="clear" w:color="000000" w:fill="F2F2F2"/>
            <w:vAlign w:val="center"/>
          </w:tcPr>
          <w:p w14:paraId="7907FA20" w14:textId="4BFC6139"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1,864,589,181.8 </w:t>
            </w:r>
          </w:p>
        </w:tc>
        <w:tc>
          <w:tcPr>
            <w:tcW w:w="1207" w:type="dxa"/>
            <w:gridSpan w:val="2"/>
            <w:tcBorders>
              <w:top w:val="nil"/>
              <w:left w:val="nil"/>
              <w:bottom w:val="nil"/>
              <w:right w:val="nil"/>
            </w:tcBorders>
            <w:shd w:val="clear" w:color="000000" w:fill="F2F2F2"/>
            <w:vAlign w:val="center"/>
          </w:tcPr>
          <w:p w14:paraId="4213A8EB" w14:textId="2C62F569"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21484F" w:rsidRPr="00FC0913" w14:paraId="116544B9" w14:textId="77777777" w:rsidTr="00AE2BFC">
        <w:trPr>
          <w:trHeight w:val="260"/>
          <w:jc w:val="center"/>
        </w:trPr>
        <w:tc>
          <w:tcPr>
            <w:tcW w:w="3873" w:type="dxa"/>
            <w:tcBorders>
              <w:top w:val="nil"/>
              <w:left w:val="nil"/>
              <w:bottom w:val="nil"/>
              <w:right w:val="nil"/>
            </w:tcBorders>
            <w:shd w:val="clear" w:color="000000" w:fill="F2F2F2"/>
            <w:vAlign w:val="center"/>
          </w:tcPr>
          <w:p w14:paraId="58A51404" w14:textId="3A8D669B" w:rsidR="0021484F" w:rsidRPr="00DD31D5" w:rsidRDefault="0021484F" w:rsidP="0021484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Vehículos y Equipo de Transporte</w:t>
            </w:r>
          </w:p>
        </w:tc>
        <w:tc>
          <w:tcPr>
            <w:tcW w:w="1500" w:type="dxa"/>
            <w:tcBorders>
              <w:top w:val="nil"/>
              <w:left w:val="nil"/>
              <w:bottom w:val="nil"/>
              <w:right w:val="nil"/>
            </w:tcBorders>
            <w:shd w:val="clear" w:color="000000" w:fill="F2F2F2"/>
            <w:vAlign w:val="center"/>
          </w:tcPr>
          <w:p w14:paraId="4FFDB8A4" w14:textId="16D4F9D2"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968,157,011.6</w:t>
            </w:r>
          </w:p>
        </w:tc>
        <w:tc>
          <w:tcPr>
            <w:tcW w:w="1715" w:type="dxa"/>
            <w:tcBorders>
              <w:top w:val="nil"/>
              <w:left w:val="nil"/>
              <w:bottom w:val="nil"/>
              <w:right w:val="nil"/>
            </w:tcBorders>
            <w:shd w:val="clear" w:color="000000" w:fill="F2F2F2"/>
            <w:vAlign w:val="center"/>
          </w:tcPr>
          <w:p w14:paraId="53A14797" w14:textId="2C2AA299"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834,496,651.3</w:t>
            </w:r>
          </w:p>
        </w:tc>
        <w:tc>
          <w:tcPr>
            <w:tcW w:w="1559" w:type="dxa"/>
            <w:tcBorders>
              <w:top w:val="nil"/>
              <w:left w:val="nil"/>
              <w:bottom w:val="nil"/>
              <w:right w:val="nil"/>
            </w:tcBorders>
            <w:shd w:val="clear" w:color="000000" w:fill="F2F2F2"/>
            <w:vAlign w:val="center"/>
          </w:tcPr>
          <w:p w14:paraId="6D4447CA" w14:textId="7AAC87B8"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133,660,360.3 </w:t>
            </w:r>
          </w:p>
        </w:tc>
        <w:tc>
          <w:tcPr>
            <w:tcW w:w="1207" w:type="dxa"/>
            <w:gridSpan w:val="2"/>
            <w:tcBorders>
              <w:top w:val="nil"/>
              <w:left w:val="nil"/>
              <w:bottom w:val="nil"/>
              <w:right w:val="nil"/>
            </w:tcBorders>
            <w:shd w:val="clear" w:color="000000" w:fill="F2F2F2"/>
            <w:vAlign w:val="center"/>
          </w:tcPr>
          <w:p w14:paraId="6F830BB6" w14:textId="6B6D9722"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4 y 6.66</w:t>
            </w:r>
          </w:p>
        </w:tc>
      </w:tr>
      <w:tr w:rsidR="0021484F" w:rsidRPr="00FC0913" w14:paraId="78FC4F54" w14:textId="77777777" w:rsidTr="00AE2BFC">
        <w:trPr>
          <w:trHeight w:val="260"/>
          <w:jc w:val="center"/>
        </w:trPr>
        <w:tc>
          <w:tcPr>
            <w:tcW w:w="3873" w:type="dxa"/>
            <w:tcBorders>
              <w:top w:val="nil"/>
              <w:left w:val="nil"/>
              <w:bottom w:val="nil"/>
              <w:right w:val="nil"/>
            </w:tcBorders>
            <w:shd w:val="clear" w:color="000000" w:fill="F2F2F2"/>
            <w:vAlign w:val="center"/>
          </w:tcPr>
          <w:p w14:paraId="750A2D91" w14:textId="0EC8A9D7" w:rsidR="0021484F" w:rsidRPr="00DD31D5" w:rsidRDefault="0021484F" w:rsidP="0021484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Mobiliario y Equipo Educacional y Recreativo</w:t>
            </w:r>
          </w:p>
        </w:tc>
        <w:tc>
          <w:tcPr>
            <w:tcW w:w="1500" w:type="dxa"/>
            <w:tcBorders>
              <w:top w:val="nil"/>
              <w:left w:val="nil"/>
              <w:bottom w:val="nil"/>
              <w:right w:val="nil"/>
            </w:tcBorders>
            <w:shd w:val="clear" w:color="000000" w:fill="F2F2F2"/>
            <w:vAlign w:val="center"/>
          </w:tcPr>
          <w:p w14:paraId="22831501" w14:textId="0380BD04"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180,775,372.3</w:t>
            </w:r>
          </w:p>
        </w:tc>
        <w:tc>
          <w:tcPr>
            <w:tcW w:w="1715" w:type="dxa"/>
            <w:tcBorders>
              <w:top w:val="nil"/>
              <w:left w:val="nil"/>
              <w:bottom w:val="nil"/>
              <w:right w:val="nil"/>
            </w:tcBorders>
            <w:shd w:val="clear" w:color="000000" w:fill="F2F2F2"/>
            <w:vAlign w:val="center"/>
          </w:tcPr>
          <w:p w14:paraId="19C98E9F" w14:textId="47DF8A44"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Pr>
                <w:rFonts w:ascii="Noto Sans" w:eastAsia="Times New Roman" w:hAnsi="Noto Sans" w:cs="Noto Sans"/>
                <w:color w:val="000000"/>
                <w:sz w:val="15"/>
                <w:szCs w:val="15"/>
                <w:lang w:eastAsia="es-MX"/>
              </w:rPr>
              <w:t>179,640,660.5</w:t>
            </w:r>
          </w:p>
        </w:tc>
        <w:tc>
          <w:tcPr>
            <w:tcW w:w="1559" w:type="dxa"/>
            <w:tcBorders>
              <w:top w:val="nil"/>
              <w:left w:val="nil"/>
              <w:bottom w:val="nil"/>
              <w:right w:val="nil"/>
            </w:tcBorders>
            <w:shd w:val="clear" w:color="000000" w:fill="F2F2F2"/>
            <w:vAlign w:val="center"/>
          </w:tcPr>
          <w:p w14:paraId="647139A2" w14:textId="65C8263F"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1,134,711.8 </w:t>
            </w:r>
          </w:p>
        </w:tc>
        <w:tc>
          <w:tcPr>
            <w:tcW w:w="1207" w:type="dxa"/>
            <w:gridSpan w:val="2"/>
            <w:tcBorders>
              <w:top w:val="nil"/>
              <w:left w:val="nil"/>
              <w:bottom w:val="nil"/>
              <w:right w:val="nil"/>
            </w:tcBorders>
            <w:shd w:val="clear" w:color="000000" w:fill="F2F2F2"/>
            <w:vAlign w:val="center"/>
          </w:tcPr>
          <w:p w14:paraId="66BCEDD1" w14:textId="664BD2F5"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21484F" w:rsidRPr="00FC0913" w14:paraId="5BF1F2BA" w14:textId="77777777" w:rsidTr="00AE2BFC">
        <w:trPr>
          <w:trHeight w:val="260"/>
          <w:jc w:val="center"/>
        </w:trPr>
        <w:tc>
          <w:tcPr>
            <w:tcW w:w="3873" w:type="dxa"/>
            <w:tcBorders>
              <w:top w:val="nil"/>
              <w:left w:val="nil"/>
              <w:bottom w:val="nil"/>
              <w:right w:val="nil"/>
            </w:tcBorders>
            <w:shd w:val="clear" w:color="000000" w:fill="F2F2F2"/>
            <w:vAlign w:val="center"/>
          </w:tcPr>
          <w:p w14:paraId="027C32A5" w14:textId="79FDA6A8" w:rsidR="0021484F" w:rsidRPr="00DD31D5" w:rsidRDefault="0021484F" w:rsidP="0021484F">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Colecciones, Obras de Arte y Objetos Valiosos</w:t>
            </w:r>
          </w:p>
        </w:tc>
        <w:tc>
          <w:tcPr>
            <w:tcW w:w="1500" w:type="dxa"/>
            <w:tcBorders>
              <w:top w:val="nil"/>
              <w:left w:val="nil"/>
              <w:bottom w:val="nil"/>
              <w:right w:val="nil"/>
            </w:tcBorders>
            <w:shd w:val="clear" w:color="000000" w:fill="F2F2F2"/>
            <w:vAlign w:val="center"/>
          </w:tcPr>
          <w:p w14:paraId="71AF916C" w14:textId="7CE0001E"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17,109,857.1</w:t>
            </w:r>
          </w:p>
        </w:tc>
        <w:tc>
          <w:tcPr>
            <w:tcW w:w="1715" w:type="dxa"/>
            <w:tcBorders>
              <w:top w:val="nil"/>
              <w:left w:val="nil"/>
              <w:bottom w:val="nil"/>
              <w:right w:val="nil"/>
            </w:tcBorders>
            <w:shd w:val="clear" w:color="000000" w:fill="F2F2F2"/>
            <w:vAlign w:val="center"/>
          </w:tcPr>
          <w:p w14:paraId="776ABFE3" w14:textId="4A702D08"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0.0</w:t>
            </w:r>
          </w:p>
        </w:tc>
        <w:tc>
          <w:tcPr>
            <w:tcW w:w="1559" w:type="dxa"/>
            <w:tcBorders>
              <w:top w:val="nil"/>
              <w:left w:val="nil"/>
              <w:bottom w:val="nil"/>
              <w:right w:val="nil"/>
            </w:tcBorders>
            <w:shd w:val="clear" w:color="000000" w:fill="F2F2F2"/>
            <w:vAlign w:val="center"/>
          </w:tcPr>
          <w:p w14:paraId="55506EB6" w14:textId="4C7C6632"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17,109,857.1 </w:t>
            </w:r>
          </w:p>
        </w:tc>
        <w:tc>
          <w:tcPr>
            <w:tcW w:w="1207" w:type="dxa"/>
            <w:gridSpan w:val="2"/>
            <w:tcBorders>
              <w:top w:val="nil"/>
              <w:left w:val="nil"/>
              <w:bottom w:val="nil"/>
              <w:right w:val="nil"/>
            </w:tcBorders>
            <w:shd w:val="clear" w:color="000000" w:fill="F2F2F2"/>
            <w:vAlign w:val="center"/>
          </w:tcPr>
          <w:p w14:paraId="09B410B7" w14:textId="77777777" w:rsidR="0021484F" w:rsidRPr="00DD31D5" w:rsidRDefault="0021484F" w:rsidP="0021484F">
            <w:pPr>
              <w:spacing w:after="0" w:line="240" w:lineRule="auto"/>
              <w:jc w:val="right"/>
              <w:rPr>
                <w:rFonts w:ascii="Noto Sans" w:eastAsia="Times New Roman" w:hAnsi="Noto Sans" w:cs="Noto Sans"/>
                <w:color w:val="000000"/>
                <w:sz w:val="15"/>
                <w:szCs w:val="15"/>
                <w:lang w:eastAsia="es-MX"/>
              </w:rPr>
            </w:pPr>
          </w:p>
        </w:tc>
      </w:tr>
      <w:tr w:rsidR="0021484F" w:rsidRPr="005946C5" w14:paraId="704BED5D" w14:textId="77777777" w:rsidTr="00AE2BFC">
        <w:trPr>
          <w:trHeight w:val="260"/>
          <w:jc w:val="center"/>
        </w:trPr>
        <w:tc>
          <w:tcPr>
            <w:tcW w:w="3873" w:type="dxa"/>
            <w:tcBorders>
              <w:top w:val="nil"/>
              <w:left w:val="nil"/>
              <w:bottom w:val="single" w:sz="12" w:space="0" w:color="A6802D"/>
              <w:right w:val="nil"/>
            </w:tcBorders>
            <w:shd w:val="clear" w:color="000000" w:fill="F2F2F2"/>
            <w:vAlign w:val="center"/>
          </w:tcPr>
          <w:p w14:paraId="6BF9B6E3" w14:textId="3F3B3D7E" w:rsidR="0021484F" w:rsidRPr="00DD31D5" w:rsidRDefault="0021484F" w:rsidP="0021484F">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Bienes Muebles</w:t>
            </w:r>
          </w:p>
        </w:tc>
        <w:tc>
          <w:tcPr>
            <w:tcW w:w="1500" w:type="dxa"/>
            <w:tcBorders>
              <w:top w:val="nil"/>
              <w:left w:val="nil"/>
              <w:bottom w:val="single" w:sz="12" w:space="0" w:color="A6802D"/>
              <w:right w:val="nil"/>
            </w:tcBorders>
            <w:shd w:val="clear" w:color="000000" w:fill="F2F2F2"/>
            <w:vAlign w:val="center"/>
          </w:tcPr>
          <w:p w14:paraId="65EA2331" w14:textId="15DE161F" w:rsidR="0021484F" w:rsidRPr="00DD31D5" w:rsidRDefault="0021484F" w:rsidP="0021484F">
            <w:pPr>
              <w:spacing w:after="0" w:line="240" w:lineRule="auto"/>
              <w:jc w:val="right"/>
              <w:rPr>
                <w:rFonts w:ascii="Noto Sans" w:eastAsia="Times New Roman" w:hAnsi="Noto Sans" w:cs="Noto Sans"/>
                <w:b/>
                <w:bCs/>
                <w:color w:val="000000"/>
                <w:sz w:val="15"/>
                <w:szCs w:val="15"/>
                <w:lang w:eastAsia="es-MX"/>
              </w:rPr>
            </w:pPr>
            <w:r>
              <w:rPr>
                <w:rFonts w:ascii="Noto Sans" w:eastAsia="Times New Roman" w:hAnsi="Noto Sans" w:cs="Noto Sans"/>
                <w:b/>
                <w:bCs/>
                <w:color w:val="000000"/>
                <w:sz w:val="15"/>
                <w:szCs w:val="15"/>
                <w:lang w:eastAsia="es-MX"/>
              </w:rPr>
              <w:t>62,603,623,772.2</w:t>
            </w:r>
          </w:p>
        </w:tc>
        <w:tc>
          <w:tcPr>
            <w:tcW w:w="1715" w:type="dxa"/>
            <w:tcBorders>
              <w:top w:val="nil"/>
              <w:left w:val="nil"/>
              <w:bottom w:val="single" w:sz="12" w:space="0" w:color="A6802D"/>
              <w:right w:val="nil"/>
            </w:tcBorders>
            <w:shd w:val="clear" w:color="000000" w:fill="F2F2F2"/>
            <w:vAlign w:val="center"/>
          </w:tcPr>
          <w:p w14:paraId="6254EB09" w14:textId="08543699" w:rsidR="0021484F" w:rsidRPr="00DD31D5" w:rsidRDefault="0021484F" w:rsidP="0021484F">
            <w:pPr>
              <w:spacing w:after="0" w:line="240" w:lineRule="auto"/>
              <w:jc w:val="right"/>
              <w:rPr>
                <w:rFonts w:ascii="Noto Sans" w:eastAsia="Times New Roman" w:hAnsi="Noto Sans" w:cs="Noto Sans"/>
                <w:b/>
                <w:bCs/>
                <w:color w:val="000000"/>
                <w:sz w:val="15"/>
                <w:szCs w:val="15"/>
                <w:lang w:eastAsia="es-MX"/>
              </w:rPr>
            </w:pPr>
            <w:r w:rsidRPr="00DD31D5">
              <w:rPr>
                <w:rFonts w:ascii="Noto Sans" w:eastAsia="Times New Roman" w:hAnsi="Noto Sans" w:cs="Noto Sans"/>
                <w:b/>
                <w:bCs/>
                <w:color w:val="000000"/>
                <w:sz w:val="15"/>
                <w:szCs w:val="15"/>
                <w:lang w:eastAsia="es-MX"/>
              </w:rPr>
              <w:t>-5</w:t>
            </w:r>
            <w:r>
              <w:rPr>
                <w:rFonts w:ascii="Noto Sans" w:eastAsia="Times New Roman" w:hAnsi="Noto Sans" w:cs="Noto Sans"/>
                <w:b/>
                <w:bCs/>
                <w:color w:val="000000"/>
                <w:sz w:val="15"/>
                <w:szCs w:val="15"/>
                <w:lang w:eastAsia="es-MX"/>
              </w:rPr>
              <w:t>2</w:t>
            </w:r>
            <w:r w:rsidRPr="00DD31D5">
              <w:rPr>
                <w:rFonts w:ascii="Noto Sans" w:eastAsia="Times New Roman" w:hAnsi="Noto Sans" w:cs="Noto Sans"/>
                <w:b/>
                <w:bCs/>
                <w:color w:val="000000"/>
                <w:sz w:val="15"/>
                <w:szCs w:val="15"/>
                <w:lang w:eastAsia="es-MX"/>
              </w:rPr>
              <w:t>,</w:t>
            </w:r>
            <w:r>
              <w:rPr>
                <w:rFonts w:ascii="Noto Sans" w:eastAsia="Times New Roman" w:hAnsi="Noto Sans" w:cs="Noto Sans"/>
                <w:b/>
                <w:bCs/>
                <w:color w:val="000000"/>
                <w:sz w:val="15"/>
                <w:szCs w:val="15"/>
                <w:lang w:eastAsia="es-MX"/>
              </w:rPr>
              <w:t>010</w:t>
            </w:r>
            <w:r w:rsidRPr="00DD31D5">
              <w:rPr>
                <w:rFonts w:ascii="Noto Sans" w:eastAsia="Times New Roman" w:hAnsi="Noto Sans" w:cs="Noto Sans"/>
                <w:b/>
                <w:bCs/>
                <w:color w:val="000000"/>
                <w:sz w:val="15"/>
                <w:szCs w:val="15"/>
                <w:lang w:eastAsia="es-MX"/>
              </w:rPr>
              <w:t>,</w:t>
            </w:r>
            <w:r>
              <w:rPr>
                <w:rFonts w:ascii="Noto Sans" w:eastAsia="Times New Roman" w:hAnsi="Noto Sans" w:cs="Noto Sans"/>
                <w:b/>
                <w:bCs/>
                <w:color w:val="000000"/>
                <w:sz w:val="15"/>
                <w:szCs w:val="15"/>
                <w:lang w:eastAsia="es-MX"/>
              </w:rPr>
              <w:t>882</w:t>
            </w:r>
            <w:r w:rsidRPr="00DD31D5">
              <w:rPr>
                <w:rFonts w:ascii="Noto Sans" w:eastAsia="Times New Roman" w:hAnsi="Noto Sans" w:cs="Noto Sans"/>
                <w:b/>
                <w:bCs/>
                <w:color w:val="000000"/>
                <w:sz w:val="15"/>
                <w:szCs w:val="15"/>
                <w:lang w:eastAsia="es-MX"/>
              </w:rPr>
              <w:t>,</w:t>
            </w:r>
            <w:r>
              <w:rPr>
                <w:rFonts w:ascii="Noto Sans" w:eastAsia="Times New Roman" w:hAnsi="Noto Sans" w:cs="Noto Sans"/>
                <w:b/>
                <w:bCs/>
                <w:color w:val="000000"/>
                <w:sz w:val="15"/>
                <w:szCs w:val="15"/>
                <w:lang w:eastAsia="es-MX"/>
              </w:rPr>
              <w:t>81</w:t>
            </w:r>
            <w:r w:rsidR="00C16A64">
              <w:rPr>
                <w:rFonts w:ascii="Noto Sans" w:eastAsia="Times New Roman" w:hAnsi="Noto Sans" w:cs="Noto Sans"/>
                <w:b/>
                <w:bCs/>
                <w:color w:val="000000"/>
                <w:sz w:val="15"/>
                <w:szCs w:val="15"/>
                <w:lang w:eastAsia="es-MX"/>
              </w:rPr>
              <w:t>6</w:t>
            </w:r>
            <w:r w:rsidRPr="00DD31D5">
              <w:rPr>
                <w:rFonts w:ascii="Noto Sans" w:eastAsia="Times New Roman" w:hAnsi="Noto Sans" w:cs="Noto Sans"/>
                <w:b/>
                <w:bCs/>
                <w:color w:val="000000"/>
                <w:sz w:val="15"/>
                <w:szCs w:val="15"/>
                <w:lang w:eastAsia="es-MX"/>
              </w:rPr>
              <w:t>.</w:t>
            </w:r>
            <w:r>
              <w:rPr>
                <w:rFonts w:ascii="Noto Sans" w:eastAsia="Times New Roman" w:hAnsi="Noto Sans" w:cs="Noto Sans"/>
                <w:b/>
                <w:bCs/>
                <w:color w:val="000000"/>
                <w:sz w:val="15"/>
                <w:szCs w:val="15"/>
                <w:lang w:eastAsia="es-MX"/>
              </w:rPr>
              <w:t>2</w:t>
            </w:r>
          </w:p>
        </w:tc>
        <w:tc>
          <w:tcPr>
            <w:tcW w:w="1559" w:type="dxa"/>
            <w:tcBorders>
              <w:top w:val="nil"/>
              <w:left w:val="nil"/>
              <w:bottom w:val="single" w:sz="12" w:space="0" w:color="A6802D"/>
              <w:right w:val="nil"/>
            </w:tcBorders>
            <w:shd w:val="clear" w:color="000000" w:fill="F2F2F2"/>
            <w:vAlign w:val="center"/>
          </w:tcPr>
          <w:p w14:paraId="6EC9A91C" w14:textId="1B531AEF" w:rsidR="0021484F" w:rsidRPr="00DD31D5" w:rsidRDefault="0021484F" w:rsidP="0021484F">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10,592,740,9</w:t>
            </w:r>
            <w:r w:rsidR="007E1013">
              <w:rPr>
                <w:rFonts w:ascii="Noto Sans" w:hAnsi="Noto Sans" w:cs="Noto Sans"/>
                <w:b/>
                <w:bCs/>
                <w:color w:val="000000"/>
                <w:sz w:val="15"/>
                <w:szCs w:val="15"/>
              </w:rPr>
              <w:t>56</w:t>
            </w:r>
            <w:r>
              <w:rPr>
                <w:rFonts w:ascii="Noto Sans" w:hAnsi="Noto Sans" w:cs="Noto Sans"/>
                <w:b/>
                <w:bCs/>
                <w:color w:val="000000"/>
                <w:sz w:val="15"/>
                <w:szCs w:val="15"/>
              </w:rPr>
              <w:t xml:space="preserve">.0 </w:t>
            </w:r>
          </w:p>
        </w:tc>
        <w:tc>
          <w:tcPr>
            <w:tcW w:w="1207" w:type="dxa"/>
            <w:gridSpan w:val="2"/>
            <w:tcBorders>
              <w:top w:val="nil"/>
              <w:left w:val="nil"/>
              <w:bottom w:val="single" w:sz="12" w:space="0" w:color="A6802D"/>
              <w:right w:val="nil"/>
            </w:tcBorders>
            <w:shd w:val="clear" w:color="000000" w:fill="F2F2F2"/>
            <w:vAlign w:val="center"/>
          </w:tcPr>
          <w:p w14:paraId="49698624" w14:textId="77777777" w:rsidR="0021484F" w:rsidRPr="00DD31D5" w:rsidRDefault="0021484F" w:rsidP="0021484F">
            <w:pPr>
              <w:spacing w:after="0" w:line="240" w:lineRule="auto"/>
              <w:jc w:val="right"/>
              <w:rPr>
                <w:rFonts w:ascii="Noto Sans" w:eastAsia="Times New Roman" w:hAnsi="Noto Sans" w:cs="Noto Sans"/>
                <w:b/>
                <w:bCs/>
                <w:color w:val="000000"/>
                <w:sz w:val="15"/>
                <w:szCs w:val="15"/>
                <w:lang w:eastAsia="es-MX"/>
              </w:rPr>
            </w:pPr>
          </w:p>
        </w:tc>
      </w:tr>
      <w:tr w:rsidR="00825395" w:rsidRPr="00274555" w14:paraId="7F568BBA" w14:textId="77777777" w:rsidTr="00777470">
        <w:trPr>
          <w:gridAfter w:val="1"/>
          <w:wAfter w:w="59" w:type="dxa"/>
          <w:trHeight w:val="208"/>
          <w:jc w:val="center"/>
        </w:trPr>
        <w:tc>
          <w:tcPr>
            <w:tcW w:w="9795" w:type="dxa"/>
            <w:gridSpan w:val="5"/>
            <w:tcBorders>
              <w:top w:val="single" w:sz="12" w:space="0" w:color="A6802D"/>
              <w:left w:val="nil"/>
              <w:right w:val="nil"/>
            </w:tcBorders>
            <w:vAlign w:val="center"/>
          </w:tcPr>
          <w:p w14:paraId="2BDE0445" w14:textId="77777777" w:rsidR="00825395" w:rsidRPr="00274555" w:rsidRDefault="00825395" w:rsidP="0082539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7C1AA7C" w14:textId="77777777" w:rsidR="00DD31D5" w:rsidRDefault="00DD31D5" w:rsidP="00F975CC">
      <w:pPr>
        <w:pStyle w:val="TEXTONORMAL"/>
      </w:pPr>
    </w:p>
    <w:tbl>
      <w:tblPr>
        <w:tblW w:w="0" w:type="auto"/>
        <w:jc w:val="center"/>
        <w:tblCellMar>
          <w:left w:w="70" w:type="dxa"/>
          <w:right w:w="70" w:type="dxa"/>
        </w:tblCellMar>
        <w:tblLook w:val="0480" w:firstRow="0" w:lastRow="0" w:firstColumn="1" w:lastColumn="0" w:noHBand="0" w:noVBand="1"/>
      </w:tblPr>
      <w:tblGrid>
        <w:gridCol w:w="3969"/>
        <w:gridCol w:w="1427"/>
        <w:gridCol w:w="1417"/>
        <w:gridCol w:w="1427"/>
        <w:gridCol w:w="1362"/>
        <w:gridCol w:w="179"/>
      </w:tblGrid>
      <w:tr w:rsidR="005B08A6" w:rsidRPr="005946C5" w14:paraId="61431B6C" w14:textId="77777777" w:rsidTr="007E1013">
        <w:trPr>
          <w:trHeight w:val="83"/>
          <w:jc w:val="center"/>
        </w:trPr>
        <w:tc>
          <w:tcPr>
            <w:tcW w:w="3969" w:type="dxa"/>
            <w:vMerge w:val="restart"/>
            <w:tcBorders>
              <w:top w:val="double" w:sz="12" w:space="0" w:color="A6802D"/>
              <w:left w:val="nil"/>
              <w:right w:val="single" w:sz="12" w:space="0" w:color="FFFFFF"/>
            </w:tcBorders>
            <w:shd w:val="clear" w:color="auto" w:fill="A6802D"/>
            <w:vAlign w:val="center"/>
          </w:tcPr>
          <w:p w14:paraId="5BB64890"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5812" w:type="dxa"/>
            <w:gridSpan w:val="5"/>
            <w:tcBorders>
              <w:top w:val="double" w:sz="12" w:space="0" w:color="A6802D"/>
              <w:left w:val="nil"/>
              <w:bottom w:val="single" w:sz="12" w:space="0" w:color="FFFFFF"/>
            </w:tcBorders>
            <w:shd w:val="clear" w:color="auto" w:fill="A6802D"/>
            <w:vAlign w:val="center"/>
          </w:tcPr>
          <w:p w14:paraId="7B0A9D57"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2024</w:t>
            </w:r>
          </w:p>
        </w:tc>
      </w:tr>
      <w:tr w:rsidR="005B08A6" w:rsidRPr="005946C5" w14:paraId="3F51E609" w14:textId="77777777" w:rsidTr="007E1013">
        <w:trPr>
          <w:trHeight w:val="83"/>
          <w:jc w:val="center"/>
        </w:trPr>
        <w:tc>
          <w:tcPr>
            <w:tcW w:w="3969" w:type="dxa"/>
            <w:vMerge/>
            <w:tcBorders>
              <w:left w:val="nil"/>
              <w:right w:val="single" w:sz="12" w:space="0" w:color="FFFFFF"/>
            </w:tcBorders>
            <w:shd w:val="clear" w:color="auto" w:fill="A6802D"/>
            <w:vAlign w:val="center"/>
            <w:hideMark/>
          </w:tcPr>
          <w:p w14:paraId="667FF225"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p>
        </w:tc>
        <w:tc>
          <w:tcPr>
            <w:tcW w:w="1427" w:type="dxa"/>
            <w:tcBorders>
              <w:top w:val="single" w:sz="12" w:space="0" w:color="FFFFFF" w:themeColor="background1"/>
              <w:left w:val="nil"/>
              <w:bottom w:val="single" w:sz="12" w:space="0" w:color="FFFFFF"/>
              <w:right w:val="single" w:sz="12" w:space="0" w:color="FFFFFF" w:themeColor="background1"/>
            </w:tcBorders>
            <w:shd w:val="clear" w:color="auto" w:fill="A6802D"/>
            <w:vAlign w:val="center"/>
          </w:tcPr>
          <w:p w14:paraId="55797591"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Inversión</w:t>
            </w:r>
          </w:p>
        </w:tc>
        <w:tc>
          <w:tcPr>
            <w:tcW w:w="141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tcPr>
          <w:p w14:paraId="2FA02CBE"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Depreciación acumulada</w:t>
            </w:r>
          </w:p>
        </w:tc>
        <w:tc>
          <w:tcPr>
            <w:tcW w:w="1427"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A6802D"/>
            <w:vAlign w:val="center"/>
            <w:hideMark/>
          </w:tcPr>
          <w:p w14:paraId="2EE15289"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Neto</w:t>
            </w:r>
          </w:p>
        </w:tc>
        <w:tc>
          <w:tcPr>
            <w:tcW w:w="1541" w:type="dxa"/>
            <w:gridSpan w:val="2"/>
            <w:vMerge w:val="restart"/>
            <w:tcBorders>
              <w:top w:val="single" w:sz="12" w:space="0" w:color="FFFFFF" w:themeColor="background1"/>
              <w:left w:val="single" w:sz="12" w:space="0" w:color="FFFFFF" w:themeColor="background1"/>
            </w:tcBorders>
            <w:shd w:val="clear" w:color="auto" w:fill="A6802D"/>
            <w:vAlign w:val="center"/>
          </w:tcPr>
          <w:p w14:paraId="15281F9F"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Vida útil estimada en años </w:t>
            </w:r>
          </w:p>
        </w:tc>
      </w:tr>
      <w:tr w:rsidR="005B08A6" w:rsidRPr="005946C5" w14:paraId="73B11365" w14:textId="77777777" w:rsidTr="007E1013">
        <w:trPr>
          <w:trHeight w:val="28"/>
          <w:jc w:val="center"/>
        </w:trPr>
        <w:tc>
          <w:tcPr>
            <w:tcW w:w="3969" w:type="dxa"/>
            <w:vMerge/>
            <w:tcBorders>
              <w:left w:val="nil"/>
              <w:bottom w:val="triple" w:sz="12" w:space="0" w:color="A6802D"/>
              <w:right w:val="single" w:sz="12" w:space="0" w:color="FFFFFF"/>
            </w:tcBorders>
            <w:shd w:val="clear" w:color="auto" w:fill="A6802D"/>
            <w:vAlign w:val="center"/>
            <w:hideMark/>
          </w:tcPr>
          <w:p w14:paraId="43F2C7DA"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p>
        </w:tc>
        <w:tc>
          <w:tcPr>
            <w:tcW w:w="4271" w:type="dxa"/>
            <w:gridSpan w:val="3"/>
            <w:tcBorders>
              <w:top w:val="nil"/>
              <w:left w:val="nil"/>
              <w:bottom w:val="triple" w:sz="12" w:space="0" w:color="A6802D"/>
              <w:right w:val="single" w:sz="12" w:space="0" w:color="FFFFFF" w:themeColor="background1"/>
            </w:tcBorders>
            <w:shd w:val="clear" w:color="auto" w:fill="A6802D"/>
            <w:vAlign w:val="center"/>
          </w:tcPr>
          <w:p w14:paraId="53E9D534"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c>
          <w:tcPr>
            <w:tcW w:w="1541" w:type="dxa"/>
            <w:gridSpan w:val="2"/>
            <w:vMerge/>
            <w:tcBorders>
              <w:left w:val="single" w:sz="12" w:space="0" w:color="FFFFFF" w:themeColor="background1"/>
              <w:bottom w:val="triple" w:sz="12" w:space="0" w:color="A6802D"/>
            </w:tcBorders>
            <w:shd w:val="clear" w:color="auto" w:fill="A6802D"/>
            <w:vAlign w:val="center"/>
          </w:tcPr>
          <w:p w14:paraId="4CA51204" w14:textId="77777777" w:rsidR="005B08A6" w:rsidRPr="008E629A" w:rsidRDefault="005B08A6" w:rsidP="00DD31D5">
            <w:pPr>
              <w:spacing w:after="0" w:line="240" w:lineRule="exact"/>
              <w:jc w:val="center"/>
              <w:rPr>
                <w:rFonts w:ascii="Noto Sans" w:eastAsia="Times New Roman" w:hAnsi="Noto Sans" w:cs="Noto Sans"/>
                <w:b/>
                <w:bCs/>
                <w:color w:val="FFFFFF"/>
                <w:sz w:val="16"/>
                <w:szCs w:val="16"/>
                <w:lang w:eastAsia="es-MX"/>
              </w:rPr>
            </w:pPr>
          </w:p>
        </w:tc>
      </w:tr>
      <w:tr w:rsidR="00937D41" w:rsidRPr="005946C5" w14:paraId="00B649B6" w14:textId="77777777" w:rsidTr="007E1013">
        <w:trPr>
          <w:trHeight w:val="283"/>
          <w:jc w:val="center"/>
        </w:trPr>
        <w:tc>
          <w:tcPr>
            <w:tcW w:w="3969" w:type="dxa"/>
            <w:tcBorders>
              <w:top w:val="triple" w:sz="12" w:space="0" w:color="A6802D"/>
              <w:left w:val="nil"/>
              <w:bottom w:val="nil"/>
              <w:right w:val="nil"/>
            </w:tcBorders>
            <w:shd w:val="clear" w:color="000000" w:fill="F2F2F2"/>
            <w:vAlign w:val="center"/>
          </w:tcPr>
          <w:p w14:paraId="6B41F1C4" w14:textId="77777777" w:rsidR="00937D41" w:rsidRPr="00DD31D5" w:rsidRDefault="00937D41" w:rsidP="00937D41">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Equipo e Instrumental Médico y de Laboratorio</w:t>
            </w:r>
          </w:p>
        </w:tc>
        <w:tc>
          <w:tcPr>
            <w:tcW w:w="1427" w:type="dxa"/>
            <w:tcBorders>
              <w:top w:val="triple" w:sz="12" w:space="0" w:color="A6802D"/>
              <w:left w:val="nil"/>
              <w:bottom w:val="nil"/>
              <w:right w:val="nil"/>
            </w:tcBorders>
            <w:shd w:val="clear" w:color="000000" w:fill="F2F2F2"/>
            <w:vAlign w:val="center"/>
          </w:tcPr>
          <w:p w14:paraId="5BE4D194" w14:textId="7CE3F874"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34,</w:t>
            </w:r>
            <w:r w:rsidR="003E7092">
              <w:rPr>
                <w:rFonts w:ascii="Noto Sans" w:eastAsia="Times New Roman" w:hAnsi="Noto Sans" w:cs="Noto Sans"/>
                <w:color w:val="000000"/>
                <w:sz w:val="15"/>
                <w:szCs w:val="15"/>
                <w:lang w:eastAsia="es-MX"/>
              </w:rPr>
              <w:t>728</w:t>
            </w:r>
            <w:r>
              <w:rPr>
                <w:rFonts w:ascii="Noto Sans" w:eastAsia="Times New Roman" w:hAnsi="Noto Sans" w:cs="Noto Sans"/>
                <w:color w:val="000000"/>
                <w:sz w:val="15"/>
                <w:szCs w:val="15"/>
                <w:lang w:eastAsia="es-MX"/>
              </w:rPr>
              <w:t>,</w:t>
            </w:r>
            <w:r w:rsidR="003E7092">
              <w:rPr>
                <w:rFonts w:ascii="Noto Sans" w:eastAsia="Times New Roman" w:hAnsi="Noto Sans" w:cs="Noto Sans"/>
                <w:color w:val="000000"/>
                <w:sz w:val="15"/>
                <w:szCs w:val="15"/>
                <w:lang w:eastAsia="es-MX"/>
              </w:rPr>
              <w:t>264</w:t>
            </w:r>
            <w:r>
              <w:rPr>
                <w:rFonts w:ascii="Noto Sans" w:eastAsia="Times New Roman" w:hAnsi="Noto Sans" w:cs="Noto Sans"/>
                <w:color w:val="000000"/>
                <w:sz w:val="15"/>
                <w:szCs w:val="15"/>
                <w:lang w:eastAsia="es-MX"/>
              </w:rPr>
              <w:t>,</w:t>
            </w:r>
            <w:r w:rsidR="003E7092">
              <w:rPr>
                <w:rFonts w:ascii="Noto Sans" w:eastAsia="Times New Roman" w:hAnsi="Noto Sans" w:cs="Noto Sans"/>
                <w:color w:val="000000"/>
                <w:sz w:val="15"/>
                <w:szCs w:val="15"/>
                <w:lang w:eastAsia="es-MX"/>
              </w:rPr>
              <w:t>727</w:t>
            </w:r>
            <w:r>
              <w:rPr>
                <w:rFonts w:ascii="Noto Sans" w:eastAsia="Times New Roman" w:hAnsi="Noto Sans" w:cs="Noto Sans"/>
                <w:color w:val="000000"/>
                <w:sz w:val="15"/>
                <w:szCs w:val="15"/>
                <w:lang w:eastAsia="es-MX"/>
              </w:rPr>
              <w:t>.</w:t>
            </w:r>
            <w:r w:rsidR="003E7092">
              <w:rPr>
                <w:rFonts w:ascii="Noto Sans" w:eastAsia="Times New Roman" w:hAnsi="Noto Sans" w:cs="Noto Sans"/>
                <w:color w:val="000000"/>
                <w:sz w:val="15"/>
                <w:szCs w:val="15"/>
                <w:lang w:eastAsia="es-MX"/>
              </w:rPr>
              <w:t>1</w:t>
            </w:r>
          </w:p>
        </w:tc>
        <w:tc>
          <w:tcPr>
            <w:tcW w:w="1417" w:type="dxa"/>
            <w:tcBorders>
              <w:top w:val="triple" w:sz="12" w:space="0" w:color="A6802D"/>
              <w:left w:val="nil"/>
              <w:bottom w:val="nil"/>
              <w:right w:val="nil"/>
            </w:tcBorders>
            <w:shd w:val="clear" w:color="000000" w:fill="F2F2F2"/>
            <w:vAlign w:val="center"/>
          </w:tcPr>
          <w:p w14:paraId="744911D3" w14:textId="5736F698"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sidR="00704C7F">
              <w:rPr>
                <w:rFonts w:ascii="Noto Sans" w:eastAsia="Times New Roman" w:hAnsi="Noto Sans" w:cs="Noto Sans"/>
                <w:color w:val="000000"/>
                <w:sz w:val="15"/>
                <w:szCs w:val="15"/>
                <w:lang w:eastAsia="es-MX"/>
              </w:rPr>
              <w:t>30,061,830,170.3</w:t>
            </w:r>
          </w:p>
        </w:tc>
        <w:tc>
          <w:tcPr>
            <w:tcW w:w="1427" w:type="dxa"/>
            <w:tcBorders>
              <w:top w:val="triple" w:sz="12" w:space="0" w:color="A6802D"/>
              <w:left w:val="nil"/>
              <w:bottom w:val="nil"/>
              <w:right w:val="nil"/>
            </w:tcBorders>
            <w:shd w:val="clear" w:color="000000" w:fill="F2F2F2"/>
            <w:vAlign w:val="center"/>
          </w:tcPr>
          <w:p w14:paraId="323DBD8B" w14:textId="03E4C292" w:rsidR="00937D41" w:rsidRPr="00DD31D5" w:rsidRDefault="008C2875" w:rsidP="00937D4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4,666,434,556.8</w:t>
            </w:r>
          </w:p>
        </w:tc>
        <w:tc>
          <w:tcPr>
            <w:tcW w:w="1541" w:type="dxa"/>
            <w:gridSpan w:val="2"/>
            <w:tcBorders>
              <w:top w:val="triple" w:sz="12" w:space="0" w:color="A6802D"/>
              <w:left w:val="nil"/>
              <w:bottom w:val="nil"/>
              <w:right w:val="nil"/>
            </w:tcBorders>
            <w:shd w:val="clear" w:color="000000" w:fill="F2F2F2"/>
            <w:vAlign w:val="center"/>
          </w:tcPr>
          <w:p w14:paraId="059D5AF0"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937D41" w:rsidRPr="00FC0913" w14:paraId="5F5C5935" w14:textId="77777777" w:rsidTr="007E1013">
        <w:trPr>
          <w:trHeight w:val="283"/>
          <w:jc w:val="center"/>
        </w:trPr>
        <w:tc>
          <w:tcPr>
            <w:tcW w:w="3969" w:type="dxa"/>
            <w:tcBorders>
              <w:top w:val="nil"/>
              <w:left w:val="nil"/>
              <w:bottom w:val="nil"/>
              <w:right w:val="nil"/>
            </w:tcBorders>
            <w:shd w:val="clear" w:color="000000" w:fill="F2F2F2"/>
            <w:vAlign w:val="center"/>
          </w:tcPr>
          <w:p w14:paraId="6C367826" w14:textId="77777777" w:rsidR="00937D41" w:rsidRPr="00DD31D5" w:rsidRDefault="00937D41" w:rsidP="00937D41">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Mobiliario y Equipo de Administración</w:t>
            </w:r>
          </w:p>
        </w:tc>
        <w:tc>
          <w:tcPr>
            <w:tcW w:w="1427" w:type="dxa"/>
            <w:tcBorders>
              <w:top w:val="nil"/>
              <w:left w:val="nil"/>
              <w:bottom w:val="nil"/>
              <w:right w:val="nil"/>
            </w:tcBorders>
            <w:shd w:val="clear" w:color="000000" w:fill="F2F2F2"/>
            <w:vAlign w:val="center"/>
          </w:tcPr>
          <w:p w14:paraId="00AC2A05" w14:textId="1AFE3BCB"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2</w:t>
            </w:r>
            <w:r w:rsidR="00281C8A">
              <w:rPr>
                <w:rFonts w:ascii="Noto Sans" w:eastAsia="Times New Roman" w:hAnsi="Noto Sans" w:cs="Noto Sans"/>
                <w:color w:val="000000"/>
                <w:sz w:val="15"/>
                <w:szCs w:val="15"/>
                <w:lang w:eastAsia="es-MX"/>
              </w:rPr>
              <w:t>1</w:t>
            </w:r>
            <w:r w:rsidR="00F13AEC">
              <w:rPr>
                <w:rFonts w:ascii="Noto Sans" w:eastAsia="Times New Roman" w:hAnsi="Noto Sans" w:cs="Noto Sans"/>
                <w:color w:val="000000"/>
                <w:sz w:val="15"/>
                <w:szCs w:val="15"/>
                <w:lang w:eastAsia="es-MX"/>
              </w:rPr>
              <w:t>,429</w:t>
            </w:r>
            <w:r>
              <w:rPr>
                <w:rFonts w:ascii="Noto Sans" w:eastAsia="Times New Roman" w:hAnsi="Noto Sans" w:cs="Noto Sans"/>
                <w:color w:val="000000"/>
                <w:sz w:val="15"/>
                <w:szCs w:val="15"/>
                <w:lang w:eastAsia="es-MX"/>
              </w:rPr>
              <w:t>,</w:t>
            </w:r>
            <w:r w:rsidR="00F13AEC">
              <w:rPr>
                <w:rFonts w:ascii="Noto Sans" w:eastAsia="Times New Roman" w:hAnsi="Noto Sans" w:cs="Noto Sans"/>
                <w:color w:val="000000"/>
                <w:sz w:val="15"/>
                <w:szCs w:val="15"/>
                <w:lang w:eastAsia="es-MX"/>
              </w:rPr>
              <w:t>379</w:t>
            </w:r>
            <w:r>
              <w:rPr>
                <w:rFonts w:ascii="Noto Sans" w:eastAsia="Times New Roman" w:hAnsi="Noto Sans" w:cs="Noto Sans"/>
                <w:color w:val="000000"/>
                <w:sz w:val="15"/>
                <w:szCs w:val="15"/>
                <w:lang w:eastAsia="es-MX"/>
              </w:rPr>
              <w:t>,</w:t>
            </w:r>
            <w:r w:rsidR="00F13AEC">
              <w:rPr>
                <w:rFonts w:ascii="Noto Sans" w:eastAsia="Times New Roman" w:hAnsi="Noto Sans" w:cs="Noto Sans"/>
                <w:color w:val="000000"/>
                <w:sz w:val="15"/>
                <w:szCs w:val="15"/>
                <w:lang w:eastAsia="es-MX"/>
              </w:rPr>
              <w:t>310.3</w:t>
            </w:r>
          </w:p>
        </w:tc>
        <w:tc>
          <w:tcPr>
            <w:tcW w:w="1417" w:type="dxa"/>
            <w:tcBorders>
              <w:top w:val="nil"/>
              <w:left w:val="nil"/>
              <w:bottom w:val="nil"/>
              <w:right w:val="nil"/>
            </w:tcBorders>
            <w:shd w:val="clear" w:color="000000" w:fill="F2F2F2"/>
            <w:vAlign w:val="center"/>
          </w:tcPr>
          <w:p w14:paraId="67D4A328" w14:textId="56E35FD3"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sidR="00704C7F">
              <w:rPr>
                <w:rFonts w:ascii="Noto Sans" w:eastAsia="Times New Roman" w:hAnsi="Noto Sans" w:cs="Noto Sans"/>
                <w:color w:val="000000"/>
                <w:sz w:val="15"/>
                <w:szCs w:val="15"/>
                <w:lang w:eastAsia="es-MX"/>
              </w:rPr>
              <w:t>15,225,256,177.9</w:t>
            </w:r>
          </w:p>
        </w:tc>
        <w:tc>
          <w:tcPr>
            <w:tcW w:w="1427" w:type="dxa"/>
            <w:tcBorders>
              <w:top w:val="nil"/>
              <w:left w:val="nil"/>
              <w:bottom w:val="nil"/>
              <w:right w:val="nil"/>
            </w:tcBorders>
            <w:shd w:val="clear" w:color="000000" w:fill="F2F2F2"/>
            <w:vAlign w:val="center"/>
          </w:tcPr>
          <w:p w14:paraId="63842F37" w14:textId="2ADCF83A" w:rsidR="00937D41" w:rsidRPr="00DD31D5" w:rsidRDefault="008C2875" w:rsidP="00937D4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6,204,123,132.4</w:t>
            </w:r>
          </w:p>
        </w:tc>
        <w:tc>
          <w:tcPr>
            <w:tcW w:w="1541" w:type="dxa"/>
            <w:gridSpan w:val="2"/>
            <w:tcBorders>
              <w:top w:val="nil"/>
              <w:left w:val="nil"/>
              <w:bottom w:val="nil"/>
              <w:right w:val="nil"/>
            </w:tcBorders>
            <w:shd w:val="clear" w:color="000000" w:fill="F2F2F2"/>
            <w:vAlign w:val="center"/>
          </w:tcPr>
          <w:p w14:paraId="611435AF"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937D41" w:rsidRPr="00FC0913" w14:paraId="0A422A94" w14:textId="77777777" w:rsidTr="007E1013">
        <w:trPr>
          <w:trHeight w:val="283"/>
          <w:jc w:val="center"/>
        </w:trPr>
        <w:tc>
          <w:tcPr>
            <w:tcW w:w="3969" w:type="dxa"/>
            <w:tcBorders>
              <w:top w:val="nil"/>
              <w:left w:val="nil"/>
              <w:bottom w:val="nil"/>
              <w:right w:val="nil"/>
            </w:tcBorders>
            <w:shd w:val="clear" w:color="000000" w:fill="F2F2F2"/>
            <w:vAlign w:val="center"/>
          </w:tcPr>
          <w:p w14:paraId="74D72FE6" w14:textId="77777777" w:rsidR="00937D41" w:rsidRPr="00DD31D5" w:rsidRDefault="00937D41" w:rsidP="00937D41">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 xml:space="preserve">Maquinaria, otros Equipos y Herramientas  </w:t>
            </w:r>
          </w:p>
        </w:tc>
        <w:tc>
          <w:tcPr>
            <w:tcW w:w="1427" w:type="dxa"/>
            <w:tcBorders>
              <w:top w:val="nil"/>
              <w:left w:val="nil"/>
              <w:bottom w:val="nil"/>
              <w:right w:val="nil"/>
            </w:tcBorders>
            <w:shd w:val="clear" w:color="000000" w:fill="F2F2F2"/>
            <w:vAlign w:val="center"/>
          </w:tcPr>
          <w:p w14:paraId="7E558F19" w14:textId="4EC7A268" w:rsidR="00937D41" w:rsidRPr="00DD31D5" w:rsidRDefault="00D32122" w:rsidP="00937D41">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5,956,363,573.6</w:t>
            </w:r>
          </w:p>
        </w:tc>
        <w:tc>
          <w:tcPr>
            <w:tcW w:w="1417" w:type="dxa"/>
            <w:tcBorders>
              <w:top w:val="nil"/>
              <w:left w:val="nil"/>
              <w:bottom w:val="nil"/>
              <w:right w:val="nil"/>
            </w:tcBorders>
            <w:shd w:val="clear" w:color="000000" w:fill="F2F2F2"/>
            <w:vAlign w:val="center"/>
          </w:tcPr>
          <w:p w14:paraId="335FBEB9" w14:textId="4B69E4D1"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sidR="00704C7F">
              <w:rPr>
                <w:rFonts w:ascii="Noto Sans" w:eastAsia="Times New Roman" w:hAnsi="Noto Sans" w:cs="Noto Sans"/>
                <w:color w:val="000000"/>
                <w:sz w:val="15"/>
                <w:szCs w:val="15"/>
                <w:lang w:eastAsia="es-MX"/>
              </w:rPr>
              <w:t>3,853,180,836</w:t>
            </w:r>
            <w:r w:rsidR="00281C8A">
              <w:rPr>
                <w:rFonts w:ascii="Noto Sans" w:eastAsia="Times New Roman" w:hAnsi="Noto Sans" w:cs="Noto Sans"/>
                <w:color w:val="000000"/>
                <w:sz w:val="15"/>
                <w:szCs w:val="15"/>
                <w:lang w:eastAsia="es-MX"/>
              </w:rPr>
              <w:t>.</w:t>
            </w:r>
            <w:r w:rsidR="00704C7F">
              <w:rPr>
                <w:rFonts w:ascii="Noto Sans" w:eastAsia="Times New Roman" w:hAnsi="Noto Sans" w:cs="Noto Sans"/>
                <w:color w:val="000000"/>
                <w:sz w:val="15"/>
                <w:szCs w:val="15"/>
                <w:lang w:eastAsia="es-MX"/>
              </w:rPr>
              <w:t>7</w:t>
            </w:r>
          </w:p>
        </w:tc>
        <w:tc>
          <w:tcPr>
            <w:tcW w:w="1427" w:type="dxa"/>
            <w:tcBorders>
              <w:top w:val="nil"/>
              <w:left w:val="nil"/>
              <w:bottom w:val="nil"/>
              <w:right w:val="nil"/>
            </w:tcBorders>
            <w:shd w:val="clear" w:color="000000" w:fill="F2F2F2"/>
            <w:vAlign w:val="center"/>
          </w:tcPr>
          <w:p w14:paraId="7B2496CB" w14:textId="7E8AF090" w:rsidR="00937D41" w:rsidRPr="00DD31D5" w:rsidRDefault="008C2875" w:rsidP="00937D4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2,103,182,736.9</w:t>
            </w:r>
            <w:r w:rsidR="00937D41">
              <w:rPr>
                <w:rFonts w:ascii="Noto Sans" w:hAnsi="Noto Sans" w:cs="Noto Sans"/>
                <w:color w:val="000000"/>
                <w:sz w:val="15"/>
                <w:szCs w:val="15"/>
              </w:rPr>
              <w:t xml:space="preserve"> </w:t>
            </w:r>
          </w:p>
        </w:tc>
        <w:tc>
          <w:tcPr>
            <w:tcW w:w="1541" w:type="dxa"/>
            <w:gridSpan w:val="2"/>
            <w:tcBorders>
              <w:top w:val="nil"/>
              <w:left w:val="nil"/>
              <w:bottom w:val="nil"/>
              <w:right w:val="nil"/>
            </w:tcBorders>
            <w:shd w:val="clear" w:color="000000" w:fill="F2F2F2"/>
            <w:vAlign w:val="center"/>
          </w:tcPr>
          <w:p w14:paraId="45B9F6E9"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6.66</w:t>
            </w:r>
          </w:p>
        </w:tc>
      </w:tr>
      <w:tr w:rsidR="00937D41" w:rsidRPr="00FC0913" w14:paraId="0F7A370A" w14:textId="77777777" w:rsidTr="007E1013">
        <w:trPr>
          <w:trHeight w:val="283"/>
          <w:jc w:val="center"/>
        </w:trPr>
        <w:tc>
          <w:tcPr>
            <w:tcW w:w="3969" w:type="dxa"/>
            <w:tcBorders>
              <w:top w:val="nil"/>
              <w:left w:val="nil"/>
              <w:bottom w:val="nil"/>
              <w:right w:val="nil"/>
            </w:tcBorders>
            <w:shd w:val="clear" w:color="000000" w:fill="F2F2F2"/>
            <w:vAlign w:val="center"/>
          </w:tcPr>
          <w:p w14:paraId="276832C1" w14:textId="77777777" w:rsidR="00937D41" w:rsidRPr="00DD31D5" w:rsidRDefault="00937D41" w:rsidP="00937D41">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Vehículos y Equipo de Transporte</w:t>
            </w:r>
          </w:p>
        </w:tc>
        <w:tc>
          <w:tcPr>
            <w:tcW w:w="1427" w:type="dxa"/>
            <w:tcBorders>
              <w:top w:val="nil"/>
              <w:left w:val="nil"/>
              <w:bottom w:val="nil"/>
              <w:right w:val="nil"/>
            </w:tcBorders>
            <w:shd w:val="clear" w:color="000000" w:fill="F2F2F2"/>
            <w:vAlign w:val="center"/>
          </w:tcPr>
          <w:p w14:paraId="636FD86C" w14:textId="26F31CCC" w:rsidR="00937D41" w:rsidRPr="00DD31D5" w:rsidRDefault="00D32122" w:rsidP="00937D41">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980,796,920.4</w:t>
            </w:r>
          </w:p>
        </w:tc>
        <w:tc>
          <w:tcPr>
            <w:tcW w:w="1417" w:type="dxa"/>
            <w:tcBorders>
              <w:top w:val="nil"/>
              <w:left w:val="nil"/>
              <w:bottom w:val="nil"/>
              <w:right w:val="nil"/>
            </w:tcBorders>
            <w:shd w:val="clear" w:color="000000" w:fill="F2F2F2"/>
            <w:vAlign w:val="center"/>
          </w:tcPr>
          <w:p w14:paraId="54CE9DEB" w14:textId="4B42EE2A"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sidR="00704C7F">
              <w:rPr>
                <w:rFonts w:ascii="Noto Sans" w:eastAsia="Times New Roman" w:hAnsi="Noto Sans" w:cs="Noto Sans"/>
                <w:color w:val="000000"/>
                <w:sz w:val="15"/>
                <w:szCs w:val="15"/>
                <w:lang w:eastAsia="es-MX"/>
              </w:rPr>
              <w:t>821,514,503.4</w:t>
            </w:r>
          </w:p>
        </w:tc>
        <w:tc>
          <w:tcPr>
            <w:tcW w:w="1427" w:type="dxa"/>
            <w:tcBorders>
              <w:top w:val="nil"/>
              <w:left w:val="nil"/>
              <w:bottom w:val="nil"/>
              <w:right w:val="nil"/>
            </w:tcBorders>
            <w:shd w:val="clear" w:color="000000" w:fill="F2F2F2"/>
            <w:vAlign w:val="center"/>
          </w:tcPr>
          <w:p w14:paraId="158D35C9" w14:textId="78F1C62B" w:rsidR="00937D41" w:rsidRPr="00DD31D5" w:rsidRDefault="008C2875" w:rsidP="00937D4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159,282,417.0</w:t>
            </w:r>
            <w:r w:rsidR="00937D41">
              <w:rPr>
                <w:rFonts w:ascii="Noto Sans" w:hAnsi="Noto Sans" w:cs="Noto Sans"/>
                <w:color w:val="000000"/>
                <w:sz w:val="15"/>
                <w:szCs w:val="15"/>
              </w:rPr>
              <w:t xml:space="preserve"> </w:t>
            </w:r>
          </w:p>
        </w:tc>
        <w:tc>
          <w:tcPr>
            <w:tcW w:w="1541" w:type="dxa"/>
            <w:gridSpan w:val="2"/>
            <w:tcBorders>
              <w:top w:val="nil"/>
              <w:left w:val="nil"/>
              <w:bottom w:val="nil"/>
              <w:right w:val="nil"/>
            </w:tcBorders>
            <w:shd w:val="clear" w:color="000000" w:fill="F2F2F2"/>
            <w:vAlign w:val="center"/>
          </w:tcPr>
          <w:p w14:paraId="65552BB2"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4 y 6.66</w:t>
            </w:r>
          </w:p>
        </w:tc>
      </w:tr>
      <w:tr w:rsidR="00937D41" w:rsidRPr="00FC0913" w14:paraId="12C2F9EC" w14:textId="77777777" w:rsidTr="007E1013">
        <w:trPr>
          <w:trHeight w:val="283"/>
          <w:jc w:val="center"/>
        </w:trPr>
        <w:tc>
          <w:tcPr>
            <w:tcW w:w="3969" w:type="dxa"/>
            <w:tcBorders>
              <w:top w:val="nil"/>
              <w:left w:val="nil"/>
              <w:bottom w:val="nil"/>
              <w:right w:val="nil"/>
            </w:tcBorders>
            <w:shd w:val="clear" w:color="000000" w:fill="F2F2F2"/>
            <w:vAlign w:val="center"/>
          </w:tcPr>
          <w:p w14:paraId="5E9E3945" w14:textId="77777777" w:rsidR="00937D41" w:rsidRPr="00DD31D5" w:rsidRDefault="00937D41" w:rsidP="00937D41">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Mobiliario y Equipo Educacional y Recreativo</w:t>
            </w:r>
          </w:p>
        </w:tc>
        <w:tc>
          <w:tcPr>
            <w:tcW w:w="1427" w:type="dxa"/>
            <w:tcBorders>
              <w:top w:val="nil"/>
              <w:left w:val="nil"/>
              <w:bottom w:val="nil"/>
              <w:right w:val="nil"/>
            </w:tcBorders>
            <w:shd w:val="clear" w:color="000000" w:fill="F2F2F2"/>
            <w:vAlign w:val="center"/>
          </w:tcPr>
          <w:p w14:paraId="77080692" w14:textId="19DDC2D8" w:rsidR="00937D41" w:rsidRPr="00DD31D5" w:rsidRDefault="00D32122" w:rsidP="00937D41">
            <w:pPr>
              <w:spacing w:after="0" w:line="240" w:lineRule="auto"/>
              <w:jc w:val="right"/>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182,289,813.9</w:t>
            </w:r>
          </w:p>
        </w:tc>
        <w:tc>
          <w:tcPr>
            <w:tcW w:w="1417" w:type="dxa"/>
            <w:tcBorders>
              <w:top w:val="nil"/>
              <w:left w:val="nil"/>
              <w:bottom w:val="nil"/>
              <w:right w:val="nil"/>
            </w:tcBorders>
            <w:shd w:val="clear" w:color="000000" w:fill="F2F2F2"/>
            <w:vAlign w:val="center"/>
          </w:tcPr>
          <w:p w14:paraId="09F10E92" w14:textId="70A36625"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w:t>
            </w:r>
            <w:r w:rsidR="00704C7F">
              <w:rPr>
                <w:rFonts w:ascii="Noto Sans" w:eastAsia="Times New Roman" w:hAnsi="Noto Sans" w:cs="Noto Sans"/>
                <w:color w:val="000000"/>
                <w:sz w:val="15"/>
                <w:szCs w:val="15"/>
                <w:lang w:eastAsia="es-MX"/>
              </w:rPr>
              <w:t>180,329,742.3</w:t>
            </w:r>
          </w:p>
        </w:tc>
        <w:tc>
          <w:tcPr>
            <w:tcW w:w="1427" w:type="dxa"/>
            <w:tcBorders>
              <w:top w:val="nil"/>
              <w:left w:val="nil"/>
              <w:bottom w:val="nil"/>
              <w:right w:val="nil"/>
            </w:tcBorders>
            <w:shd w:val="clear" w:color="000000" w:fill="F2F2F2"/>
            <w:vAlign w:val="center"/>
          </w:tcPr>
          <w:p w14:paraId="7FC8B081" w14:textId="287E2252" w:rsidR="00937D41" w:rsidRPr="00DD31D5" w:rsidRDefault="008C2875" w:rsidP="00937D4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1,960,071.6</w:t>
            </w:r>
            <w:r w:rsidR="00937D41">
              <w:rPr>
                <w:rFonts w:ascii="Noto Sans" w:hAnsi="Noto Sans" w:cs="Noto Sans"/>
                <w:color w:val="000000"/>
                <w:sz w:val="15"/>
                <w:szCs w:val="15"/>
              </w:rPr>
              <w:t xml:space="preserve"> </w:t>
            </w:r>
          </w:p>
        </w:tc>
        <w:tc>
          <w:tcPr>
            <w:tcW w:w="1541" w:type="dxa"/>
            <w:gridSpan w:val="2"/>
            <w:tcBorders>
              <w:top w:val="nil"/>
              <w:left w:val="nil"/>
              <w:bottom w:val="nil"/>
              <w:right w:val="nil"/>
            </w:tcBorders>
            <w:shd w:val="clear" w:color="000000" w:fill="F2F2F2"/>
            <w:vAlign w:val="center"/>
          </w:tcPr>
          <w:p w14:paraId="51285147"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3.33</w:t>
            </w:r>
          </w:p>
        </w:tc>
      </w:tr>
      <w:tr w:rsidR="00937D41" w:rsidRPr="00FC0913" w14:paraId="7232B1B9" w14:textId="77777777" w:rsidTr="007E1013">
        <w:trPr>
          <w:trHeight w:val="283"/>
          <w:jc w:val="center"/>
        </w:trPr>
        <w:tc>
          <w:tcPr>
            <w:tcW w:w="3969" w:type="dxa"/>
            <w:tcBorders>
              <w:top w:val="nil"/>
              <w:left w:val="nil"/>
              <w:bottom w:val="nil"/>
              <w:right w:val="nil"/>
            </w:tcBorders>
            <w:shd w:val="clear" w:color="000000" w:fill="F2F2F2"/>
            <w:vAlign w:val="center"/>
          </w:tcPr>
          <w:p w14:paraId="5CFA8024" w14:textId="77777777" w:rsidR="00937D41" w:rsidRPr="00DD31D5" w:rsidRDefault="00937D41" w:rsidP="00937D41">
            <w:pPr>
              <w:spacing w:after="0" w:line="240" w:lineRule="auto"/>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Colecciones, Obras de Arte y Objetos Valiosos</w:t>
            </w:r>
          </w:p>
        </w:tc>
        <w:tc>
          <w:tcPr>
            <w:tcW w:w="1427" w:type="dxa"/>
            <w:tcBorders>
              <w:top w:val="nil"/>
              <w:left w:val="nil"/>
              <w:bottom w:val="nil"/>
              <w:right w:val="nil"/>
            </w:tcBorders>
            <w:shd w:val="clear" w:color="000000" w:fill="F2F2F2"/>
            <w:vAlign w:val="center"/>
          </w:tcPr>
          <w:p w14:paraId="1112C1C5"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17,109,857.1</w:t>
            </w:r>
          </w:p>
        </w:tc>
        <w:tc>
          <w:tcPr>
            <w:tcW w:w="1417" w:type="dxa"/>
            <w:tcBorders>
              <w:top w:val="nil"/>
              <w:left w:val="nil"/>
              <w:bottom w:val="nil"/>
              <w:right w:val="nil"/>
            </w:tcBorders>
            <w:shd w:val="clear" w:color="000000" w:fill="F2F2F2"/>
            <w:vAlign w:val="center"/>
          </w:tcPr>
          <w:p w14:paraId="17A04A22"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0.0</w:t>
            </w:r>
          </w:p>
        </w:tc>
        <w:tc>
          <w:tcPr>
            <w:tcW w:w="1427" w:type="dxa"/>
            <w:tcBorders>
              <w:top w:val="nil"/>
              <w:left w:val="nil"/>
              <w:bottom w:val="nil"/>
              <w:right w:val="nil"/>
            </w:tcBorders>
            <w:shd w:val="clear" w:color="000000" w:fill="F2F2F2"/>
            <w:vAlign w:val="center"/>
          </w:tcPr>
          <w:p w14:paraId="7B48AA3A" w14:textId="12155825"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17,109,857.1 </w:t>
            </w:r>
          </w:p>
        </w:tc>
        <w:tc>
          <w:tcPr>
            <w:tcW w:w="1541" w:type="dxa"/>
            <w:gridSpan w:val="2"/>
            <w:tcBorders>
              <w:top w:val="nil"/>
              <w:left w:val="nil"/>
              <w:bottom w:val="nil"/>
              <w:right w:val="nil"/>
            </w:tcBorders>
            <w:shd w:val="clear" w:color="000000" w:fill="F2F2F2"/>
            <w:vAlign w:val="center"/>
          </w:tcPr>
          <w:p w14:paraId="2DB775E6" w14:textId="77777777" w:rsidR="00937D41" w:rsidRPr="00DD31D5" w:rsidRDefault="00937D41" w:rsidP="00937D41">
            <w:pPr>
              <w:spacing w:after="0" w:line="240" w:lineRule="auto"/>
              <w:jc w:val="right"/>
              <w:rPr>
                <w:rFonts w:ascii="Noto Sans" w:eastAsia="Times New Roman" w:hAnsi="Noto Sans" w:cs="Noto Sans"/>
                <w:color w:val="000000"/>
                <w:sz w:val="15"/>
                <w:szCs w:val="15"/>
                <w:lang w:eastAsia="es-MX"/>
              </w:rPr>
            </w:pPr>
            <w:r w:rsidRPr="00DD31D5">
              <w:rPr>
                <w:rFonts w:ascii="Noto Sans" w:eastAsia="Times New Roman" w:hAnsi="Noto Sans" w:cs="Noto Sans"/>
                <w:color w:val="000000"/>
                <w:sz w:val="15"/>
                <w:szCs w:val="15"/>
                <w:lang w:eastAsia="es-MX"/>
              </w:rPr>
              <w:t> </w:t>
            </w:r>
          </w:p>
        </w:tc>
      </w:tr>
      <w:tr w:rsidR="00937D41" w:rsidRPr="005946C5" w14:paraId="561F0F81" w14:textId="77777777" w:rsidTr="007E1013">
        <w:trPr>
          <w:trHeight w:val="283"/>
          <w:jc w:val="center"/>
        </w:trPr>
        <w:tc>
          <w:tcPr>
            <w:tcW w:w="3969" w:type="dxa"/>
            <w:tcBorders>
              <w:top w:val="nil"/>
              <w:left w:val="nil"/>
              <w:bottom w:val="single" w:sz="12" w:space="0" w:color="A6802D"/>
              <w:right w:val="nil"/>
            </w:tcBorders>
            <w:shd w:val="clear" w:color="000000" w:fill="F2F2F2"/>
            <w:vAlign w:val="center"/>
          </w:tcPr>
          <w:p w14:paraId="1DD8F6C0" w14:textId="77777777" w:rsidR="00937D41" w:rsidRPr="00DD31D5" w:rsidRDefault="00937D41" w:rsidP="00937D41">
            <w:pPr>
              <w:spacing w:after="0" w:line="240" w:lineRule="auto"/>
              <w:rPr>
                <w:rFonts w:ascii="Noto Sans" w:eastAsia="Times New Roman" w:hAnsi="Noto Sans" w:cs="Noto Sans"/>
                <w:b/>
                <w:bCs/>
                <w:color w:val="000000"/>
                <w:sz w:val="15"/>
                <w:szCs w:val="15"/>
                <w:lang w:eastAsia="es-MX"/>
              </w:rPr>
            </w:pPr>
            <w:proofErr w:type="gramStart"/>
            <w:r w:rsidRPr="00DD31D5">
              <w:rPr>
                <w:rFonts w:ascii="Noto Sans" w:eastAsia="Times New Roman" w:hAnsi="Noto Sans" w:cs="Noto Sans"/>
                <w:b/>
                <w:bCs/>
                <w:color w:val="000000"/>
                <w:sz w:val="15"/>
                <w:szCs w:val="15"/>
                <w:lang w:eastAsia="es-MX"/>
              </w:rPr>
              <w:t>Total</w:t>
            </w:r>
            <w:proofErr w:type="gramEnd"/>
            <w:r w:rsidRPr="00DD31D5">
              <w:rPr>
                <w:rFonts w:ascii="Noto Sans" w:eastAsia="Times New Roman" w:hAnsi="Noto Sans" w:cs="Noto Sans"/>
                <w:b/>
                <w:bCs/>
                <w:color w:val="000000"/>
                <w:sz w:val="15"/>
                <w:szCs w:val="15"/>
                <w:lang w:eastAsia="es-MX"/>
              </w:rPr>
              <w:t xml:space="preserve"> Bienes Muebles</w:t>
            </w:r>
          </w:p>
        </w:tc>
        <w:tc>
          <w:tcPr>
            <w:tcW w:w="1427" w:type="dxa"/>
            <w:tcBorders>
              <w:top w:val="nil"/>
              <w:left w:val="nil"/>
              <w:bottom w:val="single" w:sz="12" w:space="0" w:color="A6802D"/>
              <w:right w:val="nil"/>
            </w:tcBorders>
            <w:shd w:val="clear" w:color="000000" w:fill="F2F2F2"/>
            <w:vAlign w:val="center"/>
          </w:tcPr>
          <w:p w14:paraId="277EF6FF" w14:textId="0D12920A" w:rsidR="00937D41" w:rsidRPr="00DD31D5" w:rsidRDefault="00D32122" w:rsidP="00937D41">
            <w:pPr>
              <w:spacing w:after="0" w:line="240" w:lineRule="auto"/>
              <w:jc w:val="right"/>
              <w:rPr>
                <w:rFonts w:ascii="Noto Sans" w:eastAsia="Times New Roman" w:hAnsi="Noto Sans" w:cs="Noto Sans"/>
                <w:b/>
                <w:bCs/>
                <w:color w:val="000000"/>
                <w:sz w:val="15"/>
                <w:szCs w:val="15"/>
                <w:lang w:eastAsia="es-MX"/>
              </w:rPr>
            </w:pPr>
            <w:r>
              <w:rPr>
                <w:rFonts w:ascii="Noto Sans" w:eastAsia="Times New Roman" w:hAnsi="Noto Sans" w:cs="Noto Sans"/>
                <w:b/>
                <w:bCs/>
                <w:color w:val="000000"/>
                <w:sz w:val="15"/>
                <w:szCs w:val="15"/>
                <w:lang w:eastAsia="es-MX"/>
              </w:rPr>
              <w:t>63,294,204,202.4</w:t>
            </w:r>
          </w:p>
        </w:tc>
        <w:tc>
          <w:tcPr>
            <w:tcW w:w="1417" w:type="dxa"/>
            <w:tcBorders>
              <w:top w:val="nil"/>
              <w:left w:val="nil"/>
              <w:bottom w:val="single" w:sz="12" w:space="0" w:color="A6802D"/>
              <w:right w:val="nil"/>
            </w:tcBorders>
            <w:shd w:val="clear" w:color="000000" w:fill="F2F2F2"/>
            <w:vAlign w:val="center"/>
          </w:tcPr>
          <w:p w14:paraId="4CD666E8" w14:textId="53B595FF" w:rsidR="00937D41" w:rsidRPr="00DD31D5" w:rsidRDefault="00937D41" w:rsidP="00937D41">
            <w:pPr>
              <w:spacing w:after="0" w:line="240" w:lineRule="auto"/>
              <w:jc w:val="right"/>
              <w:rPr>
                <w:rFonts w:ascii="Noto Sans" w:eastAsia="Times New Roman" w:hAnsi="Noto Sans" w:cs="Noto Sans"/>
                <w:b/>
                <w:bCs/>
                <w:color w:val="000000"/>
                <w:sz w:val="15"/>
                <w:szCs w:val="15"/>
                <w:lang w:eastAsia="es-MX"/>
              </w:rPr>
            </w:pPr>
            <w:r w:rsidRPr="00DD31D5">
              <w:rPr>
                <w:rFonts w:ascii="Noto Sans" w:eastAsia="Times New Roman" w:hAnsi="Noto Sans" w:cs="Noto Sans"/>
                <w:b/>
                <w:bCs/>
                <w:color w:val="000000"/>
                <w:sz w:val="15"/>
                <w:szCs w:val="15"/>
                <w:lang w:eastAsia="es-MX"/>
              </w:rPr>
              <w:t>-</w:t>
            </w:r>
            <w:r w:rsidR="00704C7F">
              <w:rPr>
                <w:rFonts w:ascii="Noto Sans" w:eastAsia="Times New Roman" w:hAnsi="Noto Sans" w:cs="Noto Sans"/>
                <w:b/>
                <w:bCs/>
                <w:color w:val="000000"/>
                <w:sz w:val="15"/>
                <w:szCs w:val="15"/>
                <w:lang w:eastAsia="es-MX"/>
              </w:rPr>
              <w:t>50,142,111,430.6</w:t>
            </w:r>
          </w:p>
        </w:tc>
        <w:tc>
          <w:tcPr>
            <w:tcW w:w="1427" w:type="dxa"/>
            <w:tcBorders>
              <w:top w:val="nil"/>
              <w:left w:val="nil"/>
              <w:bottom w:val="single" w:sz="12" w:space="0" w:color="A6802D"/>
              <w:right w:val="nil"/>
            </w:tcBorders>
            <w:shd w:val="clear" w:color="000000" w:fill="F2F2F2"/>
            <w:vAlign w:val="center"/>
          </w:tcPr>
          <w:p w14:paraId="5836BD0E" w14:textId="75B56FB1" w:rsidR="00937D41" w:rsidRPr="00DD31D5" w:rsidRDefault="008C2875" w:rsidP="00937D4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13,152,092,771.8</w:t>
            </w:r>
            <w:r w:rsidR="00937D41">
              <w:rPr>
                <w:rFonts w:ascii="Noto Sans" w:hAnsi="Noto Sans" w:cs="Noto Sans"/>
                <w:b/>
                <w:bCs/>
                <w:color w:val="000000"/>
                <w:sz w:val="15"/>
                <w:szCs w:val="15"/>
              </w:rPr>
              <w:t xml:space="preserve"> </w:t>
            </w:r>
          </w:p>
        </w:tc>
        <w:tc>
          <w:tcPr>
            <w:tcW w:w="1541" w:type="dxa"/>
            <w:gridSpan w:val="2"/>
            <w:tcBorders>
              <w:top w:val="nil"/>
              <w:left w:val="nil"/>
              <w:bottom w:val="single" w:sz="12" w:space="0" w:color="A6802D"/>
              <w:right w:val="nil"/>
            </w:tcBorders>
            <w:shd w:val="clear" w:color="000000" w:fill="F2F2F2"/>
            <w:vAlign w:val="center"/>
          </w:tcPr>
          <w:p w14:paraId="46FF95B5" w14:textId="77777777" w:rsidR="00937D41" w:rsidRPr="00DD31D5" w:rsidRDefault="00937D41" w:rsidP="00937D41">
            <w:pPr>
              <w:spacing w:after="0" w:line="240" w:lineRule="auto"/>
              <w:jc w:val="right"/>
              <w:rPr>
                <w:rFonts w:ascii="Noto Sans" w:eastAsia="Times New Roman" w:hAnsi="Noto Sans" w:cs="Noto Sans"/>
                <w:b/>
                <w:bCs/>
                <w:color w:val="000000"/>
                <w:sz w:val="15"/>
                <w:szCs w:val="15"/>
                <w:lang w:eastAsia="es-MX"/>
              </w:rPr>
            </w:pPr>
            <w:r w:rsidRPr="00DD31D5">
              <w:rPr>
                <w:rFonts w:ascii="Noto Sans" w:eastAsia="Times New Roman" w:hAnsi="Noto Sans" w:cs="Noto Sans"/>
                <w:b/>
                <w:bCs/>
                <w:color w:val="000000"/>
                <w:sz w:val="15"/>
                <w:szCs w:val="15"/>
                <w:lang w:eastAsia="es-MX"/>
              </w:rPr>
              <w:t> </w:t>
            </w:r>
          </w:p>
        </w:tc>
      </w:tr>
      <w:tr w:rsidR="005B08A6" w:rsidRPr="00274555" w14:paraId="79956E65" w14:textId="77777777" w:rsidTr="007E1013">
        <w:trPr>
          <w:gridAfter w:val="1"/>
          <w:wAfter w:w="179" w:type="dxa"/>
          <w:trHeight w:val="226"/>
          <w:jc w:val="center"/>
        </w:trPr>
        <w:tc>
          <w:tcPr>
            <w:tcW w:w="9602" w:type="dxa"/>
            <w:gridSpan w:val="5"/>
            <w:tcBorders>
              <w:top w:val="single" w:sz="12" w:space="0" w:color="A6802D"/>
              <w:left w:val="nil"/>
              <w:right w:val="nil"/>
            </w:tcBorders>
            <w:vAlign w:val="center"/>
          </w:tcPr>
          <w:p w14:paraId="00A29E09" w14:textId="77777777" w:rsidR="005B08A6" w:rsidRPr="00274555" w:rsidRDefault="005B08A6" w:rsidP="00DD31D5">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74B9228F" w14:textId="77777777" w:rsidR="00F975CC" w:rsidRPr="00F975CC" w:rsidRDefault="00F975CC" w:rsidP="00F975CC">
      <w:pPr>
        <w:spacing w:after="120" w:line="250" w:lineRule="exact"/>
        <w:rPr>
          <w:rFonts w:ascii="Noto Sans" w:hAnsi="Noto Sans" w:cs="Noto Sans"/>
          <w:sz w:val="18"/>
          <w:szCs w:val="18"/>
        </w:rPr>
      </w:pPr>
    </w:p>
    <w:p w14:paraId="541A8F6A" w14:textId="77777777" w:rsidR="00DD31D5" w:rsidRDefault="00DD31D5" w:rsidP="00DD31D5">
      <w:pPr>
        <w:pStyle w:val="TEXTONORMAL"/>
        <w:spacing w:after="0" w:line="240" w:lineRule="auto"/>
      </w:pPr>
    </w:p>
    <w:p w14:paraId="7F0BEBC8" w14:textId="77777777" w:rsidR="00E713D3" w:rsidRDefault="00E713D3" w:rsidP="00DD31D5">
      <w:pPr>
        <w:pStyle w:val="TEXTONORMAL"/>
        <w:spacing w:after="0" w:line="240" w:lineRule="auto"/>
      </w:pPr>
    </w:p>
    <w:p w14:paraId="7F698610" w14:textId="77777777" w:rsidR="00D730B0" w:rsidRDefault="00D730B0" w:rsidP="00DD31D5">
      <w:pPr>
        <w:pStyle w:val="TEXTONORMAL"/>
        <w:spacing w:after="0" w:line="240" w:lineRule="auto"/>
      </w:pPr>
    </w:p>
    <w:p w14:paraId="19FCB87E" w14:textId="77777777" w:rsidR="00DD31D5" w:rsidRDefault="00253FAD" w:rsidP="00ED1D2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t>3</w:t>
      </w:r>
      <w:r w:rsidR="00DD31D5" w:rsidRPr="00DD31D5">
        <w:rPr>
          <w:rFonts w:ascii="Noto Sans" w:hAnsi="Noto Sans" w:cs="Noto Sans"/>
          <w:sz w:val="18"/>
          <w:szCs w:val="18"/>
        </w:rPr>
        <w:t>.1</w:t>
      </w:r>
      <w:r w:rsidR="00DD31D5">
        <w:rPr>
          <w:rFonts w:ascii="Noto Sans" w:hAnsi="Noto Sans" w:cs="Noto Sans"/>
          <w:sz w:val="18"/>
          <w:szCs w:val="18"/>
        </w:rPr>
        <w:t>1</w:t>
      </w:r>
      <w:r w:rsidR="00DD31D5" w:rsidRPr="00DD31D5">
        <w:rPr>
          <w:rFonts w:ascii="Noto Sans" w:hAnsi="Noto Sans" w:cs="Noto Sans"/>
          <w:sz w:val="18"/>
          <w:szCs w:val="18"/>
        </w:rPr>
        <w:t xml:space="preserve"> </w:t>
      </w:r>
      <w:r w:rsidR="00DD31D5">
        <w:rPr>
          <w:rFonts w:ascii="Noto Sans" w:hAnsi="Noto Sans" w:cs="Noto Sans"/>
          <w:sz w:val="18"/>
          <w:szCs w:val="18"/>
        </w:rPr>
        <w:t>Activos Intangibles</w:t>
      </w:r>
    </w:p>
    <w:p w14:paraId="0F3E6B3B" w14:textId="61F02ED3" w:rsidR="00DD31D5" w:rsidRDefault="004C72F3" w:rsidP="00DD31D5">
      <w:pPr>
        <w:spacing w:after="120" w:line="250" w:lineRule="exact"/>
        <w:rPr>
          <w:rFonts w:ascii="Noto Sans" w:hAnsi="Noto Sans" w:cs="Noto Sans"/>
          <w:sz w:val="18"/>
        </w:rPr>
      </w:pPr>
      <w:r w:rsidRPr="007574CD">
        <w:rPr>
          <w:rFonts w:ascii="Noto Sans" w:hAnsi="Noto Sans" w:cs="Noto Sans"/>
          <w:sz w:val="18"/>
          <w:szCs w:val="18"/>
        </w:rPr>
        <w:t>A</w:t>
      </w:r>
      <w:r w:rsidRPr="000F4D76">
        <w:rPr>
          <w:rFonts w:ascii="Noto Sans" w:hAnsi="Noto Sans" w:cs="Noto Sans"/>
          <w:sz w:val="18"/>
          <w:szCs w:val="18"/>
        </w:rPr>
        <w:t xml:space="preserve">l </w:t>
      </w:r>
      <w:r w:rsidR="000B35C1" w:rsidRPr="007574CD">
        <w:rPr>
          <w:rFonts w:ascii="Noto Sans" w:hAnsi="Noto Sans" w:cs="Noto Sans"/>
          <w:sz w:val="18"/>
          <w:szCs w:val="18"/>
        </w:rPr>
        <w:t>30 de junio</w:t>
      </w:r>
      <w:r w:rsidR="000B35C1" w:rsidRPr="002B3F78">
        <w:rPr>
          <w:rFonts w:cs="Noto Sans"/>
          <w:szCs w:val="18"/>
        </w:rPr>
        <w:t xml:space="preserve"> </w:t>
      </w:r>
      <w:r w:rsidRPr="000F4D76">
        <w:rPr>
          <w:rFonts w:ascii="Noto Sans" w:hAnsi="Noto Sans" w:cs="Noto Sans"/>
          <w:sz w:val="18"/>
          <w:szCs w:val="18"/>
        </w:rPr>
        <w:t>de 2025 y 31 de diciembre de 2024</w:t>
      </w:r>
      <w:r w:rsidR="00DD31D5" w:rsidRPr="00DD31D5">
        <w:rPr>
          <w:rFonts w:ascii="Noto Sans" w:hAnsi="Noto Sans" w:cs="Noto Sans"/>
          <w:sz w:val="18"/>
        </w:rPr>
        <w:t>, este rubro se integra de la siguiente manera:</w:t>
      </w:r>
    </w:p>
    <w:p w14:paraId="68A46569" w14:textId="77777777" w:rsidR="007C594A" w:rsidRDefault="007C594A" w:rsidP="00DD31D5">
      <w:pPr>
        <w:spacing w:after="120" w:line="250" w:lineRule="exact"/>
        <w:rPr>
          <w:rFonts w:ascii="Noto Sans" w:hAnsi="Noto Sans" w:cs="Noto Sans"/>
          <w:sz w:val="18"/>
        </w:rPr>
      </w:pPr>
    </w:p>
    <w:tbl>
      <w:tblPr>
        <w:tblW w:w="0" w:type="auto"/>
        <w:jc w:val="center"/>
        <w:tblCellMar>
          <w:left w:w="70" w:type="dxa"/>
          <w:right w:w="70" w:type="dxa"/>
        </w:tblCellMar>
        <w:tblLook w:val="0480" w:firstRow="0" w:lastRow="0" w:firstColumn="1" w:lastColumn="0" w:noHBand="0" w:noVBand="1"/>
      </w:tblPr>
      <w:tblGrid>
        <w:gridCol w:w="5517"/>
        <w:gridCol w:w="1974"/>
        <w:gridCol w:w="1977"/>
      </w:tblGrid>
      <w:tr w:rsidR="007C594A" w:rsidRPr="005946C5" w14:paraId="454988FC" w14:textId="77777777" w:rsidTr="00271436">
        <w:trPr>
          <w:trHeight w:val="94"/>
          <w:jc w:val="center"/>
        </w:trPr>
        <w:tc>
          <w:tcPr>
            <w:tcW w:w="5517"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5D36914"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51" w:type="dxa"/>
            <w:gridSpan w:val="2"/>
            <w:tcBorders>
              <w:top w:val="double" w:sz="12" w:space="0" w:color="A6802D"/>
              <w:left w:val="nil"/>
              <w:bottom w:val="single" w:sz="12" w:space="0" w:color="FFFFFF"/>
            </w:tcBorders>
            <w:shd w:val="clear" w:color="auto" w:fill="A6802D"/>
            <w:vAlign w:val="center"/>
            <w:hideMark/>
          </w:tcPr>
          <w:p w14:paraId="1A72E861"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7C594A" w:rsidRPr="005946C5" w14:paraId="59EF3D22" w14:textId="77777777" w:rsidTr="00271436">
        <w:trPr>
          <w:trHeight w:val="30"/>
          <w:jc w:val="center"/>
        </w:trPr>
        <w:tc>
          <w:tcPr>
            <w:tcW w:w="5517" w:type="dxa"/>
            <w:vMerge/>
            <w:tcBorders>
              <w:top w:val="single" w:sz="12" w:space="0" w:color="808080"/>
              <w:left w:val="nil"/>
              <w:bottom w:val="triple" w:sz="12" w:space="0" w:color="A6802D"/>
              <w:right w:val="single" w:sz="12" w:space="0" w:color="FFFFFF"/>
            </w:tcBorders>
            <w:shd w:val="clear" w:color="auto" w:fill="A6802D"/>
            <w:vAlign w:val="center"/>
            <w:hideMark/>
          </w:tcPr>
          <w:p w14:paraId="31190AC8"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p>
        </w:tc>
        <w:tc>
          <w:tcPr>
            <w:tcW w:w="1974" w:type="dxa"/>
            <w:tcBorders>
              <w:top w:val="nil"/>
              <w:left w:val="nil"/>
              <w:bottom w:val="triple" w:sz="12" w:space="0" w:color="A6802D"/>
              <w:right w:val="single" w:sz="12" w:space="0" w:color="FFFFFF"/>
            </w:tcBorders>
            <w:shd w:val="clear" w:color="auto" w:fill="A6802D"/>
            <w:vAlign w:val="center"/>
          </w:tcPr>
          <w:p w14:paraId="28BF6F54" w14:textId="7AC82FBD"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77" w:type="dxa"/>
            <w:tcBorders>
              <w:top w:val="nil"/>
              <w:left w:val="nil"/>
              <w:bottom w:val="triple" w:sz="12" w:space="0" w:color="A6802D"/>
            </w:tcBorders>
            <w:shd w:val="clear" w:color="auto" w:fill="A6802D"/>
            <w:vAlign w:val="center"/>
          </w:tcPr>
          <w:p w14:paraId="531EA6BB" w14:textId="5FBDCFB3"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A96C29" w:rsidRPr="005946C5" w14:paraId="428FCDFE" w14:textId="77777777" w:rsidTr="00271436">
        <w:trPr>
          <w:trHeight w:val="326"/>
          <w:jc w:val="center"/>
        </w:trPr>
        <w:tc>
          <w:tcPr>
            <w:tcW w:w="5517" w:type="dxa"/>
            <w:tcBorders>
              <w:top w:val="triple" w:sz="12" w:space="0" w:color="A6802D"/>
              <w:left w:val="nil"/>
              <w:bottom w:val="nil"/>
              <w:right w:val="nil"/>
            </w:tcBorders>
            <w:shd w:val="clear" w:color="000000" w:fill="F2F2F2"/>
            <w:vAlign w:val="center"/>
          </w:tcPr>
          <w:p w14:paraId="4A091C17" w14:textId="529FBC5E" w:rsidR="00A96C29" w:rsidRPr="00253FAD" w:rsidRDefault="00A96C29" w:rsidP="00A96C29">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Obligaciones Laborales </w:t>
            </w:r>
            <w:r>
              <w:rPr>
                <w:rFonts w:ascii="Noto Sans" w:hAnsi="Noto Sans" w:cs="Noto Sans"/>
                <w:b/>
                <w:bCs/>
                <w:color w:val="000000"/>
                <w:sz w:val="15"/>
                <w:szCs w:val="15"/>
              </w:rPr>
              <w:t>(3.11.a)</w:t>
            </w:r>
          </w:p>
        </w:tc>
        <w:tc>
          <w:tcPr>
            <w:tcW w:w="1974" w:type="dxa"/>
            <w:tcBorders>
              <w:top w:val="triple" w:sz="12" w:space="0" w:color="A6802D"/>
              <w:left w:val="nil"/>
              <w:bottom w:val="nil"/>
              <w:right w:val="nil"/>
            </w:tcBorders>
            <w:shd w:val="clear" w:color="000000" w:fill="F2F2F2"/>
            <w:vAlign w:val="center"/>
          </w:tcPr>
          <w:p w14:paraId="5A8776EB" w14:textId="5127E035" w:rsidR="00A96C29" w:rsidRPr="00253FAD" w:rsidRDefault="00A96C29" w:rsidP="00A96C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68,758,935,069.4 </w:t>
            </w:r>
          </w:p>
        </w:tc>
        <w:tc>
          <w:tcPr>
            <w:tcW w:w="1977" w:type="dxa"/>
            <w:tcBorders>
              <w:top w:val="triple" w:sz="12" w:space="0" w:color="A6802D"/>
              <w:left w:val="nil"/>
              <w:bottom w:val="nil"/>
              <w:right w:val="nil"/>
            </w:tcBorders>
            <w:shd w:val="clear" w:color="000000" w:fill="F2F2F2"/>
            <w:vAlign w:val="center"/>
          </w:tcPr>
          <w:p w14:paraId="19EA0A09" w14:textId="73F65211" w:rsidR="00A96C29" w:rsidRPr="00253FAD" w:rsidRDefault="00A96C29" w:rsidP="00A96C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69,353,030,080.9</w:t>
            </w:r>
          </w:p>
        </w:tc>
      </w:tr>
      <w:tr w:rsidR="00A96C29" w:rsidRPr="00FC0913" w14:paraId="324FA281" w14:textId="77777777" w:rsidTr="00271436">
        <w:trPr>
          <w:trHeight w:val="326"/>
          <w:jc w:val="center"/>
        </w:trPr>
        <w:tc>
          <w:tcPr>
            <w:tcW w:w="5517" w:type="dxa"/>
            <w:tcBorders>
              <w:top w:val="nil"/>
              <w:left w:val="nil"/>
              <w:bottom w:val="nil"/>
              <w:right w:val="nil"/>
            </w:tcBorders>
            <w:shd w:val="clear" w:color="000000" w:fill="F2F2F2"/>
            <w:vAlign w:val="center"/>
          </w:tcPr>
          <w:p w14:paraId="21DE5122" w14:textId="134991A1" w:rsidR="00A96C29" w:rsidRPr="00253FAD" w:rsidRDefault="00A96C29" w:rsidP="00A96C29">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Concesiones </w:t>
            </w:r>
            <w:r>
              <w:rPr>
                <w:rFonts w:ascii="Noto Sans" w:hAnsi="Noto Sans" w:cs="Noto Sans"/>
                <w:b/>
                <w:bCs/>
                <w:color w:val="000000"/>
                <w:sz w:val="15"/>
                <w:szCs w:val="15"/>
              </w:rPr>
              <w:t>(3.11.b)</w:t>
            </w:r>
          </w:p>
        </w:tc>
        <w:tc>
          <w:tcPr>
            <w:tcW w:w="1974" w:type="dxa"/>
            <w:tcBorders>
              <w:top w:val="nil"/>
              <w:left w:val="nil"/>
              <w:bottom w:val="nil"/>
              <w:right w:val="nil"/>
            </w:tcBorders>
            <w:shd w:val="clear" w:color="000000" w:fill="F2F2F2"/>
            <w:vAlign w:val="center"/>
          </w:tcPr>
          <w:p w14:paraId="68DB403E" w14:textId="1C041721" w:rsidR="00A96C29" w:rsidRPr="00253FAD" w:rsidRDefault="00A96C29" w:rsidP="00A96C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13,985,000.0 </w:t>
            </w:r>
          </w:p>
        </w:tc>
        <w:tc>
          <w:tcPr>
            <w:tcW w:w="1977" w:type="dxa"/>
            <w:tcBorders>
              <w:top w:val="nil"/>
              <w:left w:val="nil"/>
              <w:bottom w:val="nil"/>
              <w:right w:val="nil"/>
            </w:tcBorders>
            <w:shd w:val="clear" w:color="000000" w:fill="F2F2F2"/>
            <w:vAlign w:val="center"/>
          </w:tcPr>
          <w:p w14:paraId="3E3C81E2" w14:textId="4BB74F2F" w:rsidR="00A96C29" w:rsidRPr="00253FAD" w:rsidRDefault="00A96C29" w:rsidP="00A96C29">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13,985,000.0</w:t>
            </w:r>
          </w:p>
        </w:tc>
      </w:tr>
      <w:tr w:rsidR="00A96C29" w:rsidRPr="005946C5" w14:paraId="1692243E" w14:textId="77777777" w:rsidTr="00271436">
        <w:trPr>
          <w:trHeight w:val="326"/>
          <w:jc w:val="center"/>
        </w:trPr>
        <w:tc>
          <w:tcPr>
            <w:tcW w:w="5517" w:type="dxa"/>
            <w:tcBorders>
              <w:top w:val="nil"/>
              <w:left w:val="nil"/>
              <w:bottom w:val="single" w:sz="12" w:space="0" w:color="A6802D"/>
              <w:right w:val="nil"/>
            </w:tcBorders>
            <w:shd w:val="clear" w:color="000000" w:fill="F2F2F2"/>
            <w:vAlign w:val="center"/>
          </w:tcPr>
          <w:p w14:paraId="3419FBD1" w14:textId="3FA5E8BB" w:rsidR="00A96C29" w:rsidRPr="00253FAD" w:rsidRDefault="00A96C29" w:rsidP="00A96C29">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Activos Intangibles</w:t>
            </w:r>
          </w:p>
        </w:tc>
        <w:tc>
          <w:tcPr>
            <w:tcW w:w="1974" w:type="dxa"/>
            <w:tcBorders>
              <w:top w:val="nil"/>
              <w:left w:val="nil"/>
              <w:bottom w:val="single" w:sz="12" w:space="0" w:color="A6802D"/>
              <w:right w:val="nil"/>
            </w:tcBorders>
            <w:shd w:val="clear" w:color="000000" w:fill="F2F2F2"/>
            <w:vAlign w:val="center"/>
          </w:tcPr>
          <w:p w14:paraId="63DE494E" w14:textId="5EEDC81E" w:rsidR="00A96C29" w:rsidRPr="00253FAD" w:rsidRDefault="00A96C29" w:rsidP="00A96C2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 xml:space="preserve">    68,772,920,069.4 </w:t>
            </w:r>
          </w:p>
        </w:tc>
        <w:tc>
          <w:tcPr>
            <w:tcW w:w="1977" w:type="dxa"/>
            <w:tcBorders>
              <w:top w:val="nil"/>
              <w:left w:val="nil"/>
              <w:bottom w:val="single" w:sz="12" w:space="0" w:color="A6802D"/>
              <w:right w:val="nil"/>
            </w:tcBorders>
            <w:shd w:val="clear" w:color="000000" w:fill="F2F2F2"/>
            <w:vAlign w:val="center"/>
          </w:tcPr>
          <w:p w14:paraId="61AF2102" w14:textId="5265A566" w:rsidR="00A96C29" w:rsidRPr="00253FAD" w:rsidRDefault="00A96C29" w:rsidP="00A96C2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69,367,015,080.9</w:t>
            </w:r>
          </w:p>
        </w:tc>
      </w:tr>
      <w:tr w:rsidR="007C594A" w:rsidRPr="00274555" w14:paraId="68400123" w14:textId="77777777" w:rsidTr="00271436">
        <w:trPr>
          <w:trHeight w:val="260"/>
          <w:jc w:val="center"/>
        </w:trPr>
        <w:tc>
          <w:tcPr>
            <w:tcW w:w="5517" w:type="dxa"/>
            <w:tcBorders>
              <w:top w:val="single" w:sz="12" w:space="0" w:color="A6802D"/>
              <w:left w:val="nil"/>
              <w:right w:val="nil"/>
            </w:tcBorders>
            <w:vAlign w:val="center"/>
          </w:tcPr>
          <w:p w14:paraId="7F85222E" w14:textId="77777777" w:rsidR="007C594A" w:rsidRPr="00274555" w:rsidRDefault="007C594A"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74" w:type="dxa"/>
            <w:tcBorders>
              <w:top w:val="single" w:sz="12" w:space="0" w:color="A6802D"/>
              <w:left w:val="nil"/>
              <w:right w:val="nil"/>
            </w:tcBorders>
            <w:vAlign w:val="center"/>
          </w:tcPr>
          <w:p w14:paraId="317D3FBD"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c>
          <w:tcPr>
            <w:tcW w:w="1977" w:type="dxa"/>
            <w:tcBorders>
              <w:top w:val="single" w:sz="12" w:space="0" w:color="A6802D"/>
              <w:left w:val="nil"/>
              <w:right w:val="nil"/>
            </w:tcBorders>
            <w:vAlign w:val="center"/>
          </w:tcPr>
          <w:p w14:paraId="2D030769"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r>
    </w:tbl>
    <w:p w14:paraId="7A788C2E" w14:textId="77777777" w:rsidR="007C594A" w:rsidRDefault="007C594A" w:rsidP="007C594A">
      <w:pPr>
        <w:tabs>
          <w:tab w:val="left" w:pos="11199"/>
        </w:tabs>
        <w:spacing w:after="120" w:line="250" w:lineRule="exact"/>
        <w:rPr>
          <w:rFonts w:ascii="Noto Sans" w:hAnsi="Noto Sans" w:cs="Noto Sans"/>
          <w:sz w:val="14"/>
          <w:szCs w:val="18"/>
        </w:rPr>
      </w:pPr>
    </w:p>
    <w:p w14:paraId="7DA6B333" w14:textId="6BA77412" w:rsidR="007C594A" w:rsidRPr="007C594A" w:rsidRDefault="00253FAD" w:rsidP="005A74F5">
      <w:pPr>
        <w:pStyle w:val="Prrafodelista"/>
        <w:numPr>
          <w:ilvl w:val="0"/>
          <w:numId w:val="15"/>
        </w:numPr>
        <w:tabs>
          <w:tab w:val="left" w:pos="11199"/>
        </w:tabs>
        <w:spacing w:after="120" w:line="250" w:lineRule="exact"/>
        <w:jc w:val="both"/>
        <w:rPr>
          <w:rFonts w:ascii="Noto Sans" w:hAnsi="Noto Sans" w:cs="Noto Sans"/>
          <w:sz w:val="18"/>
          <w:szCs w:val="18"/>
        </w:rPr>
      </w:pPr>
      <w:r>
        <w:rPr>
          <w:rFonts w:ascii="Noto Sans" w:hAnsi="Noto Sans" w:cs="Noto Sans"/>
          <w:sz w:val="18"/>
          <w:szCs w:val="18"/>
        </w:rPr>
        <w:t>3</w:t>
      </w:r>
      <w:r w:rsidR="007C594A">
        <w:rPr>
          <w:rFonts w:ascii="Noto Sans" w:hAnsi="Noto Sans" w:cs="Noto Sans"/>
          <w:sz w:val="18"/>
          <w:szCs w:val="18"/>
        </w:rPr>
        <w:t>.11.a</w:t>
      </w:r>
      <w:r w:rsidR="0081738F">
        <w:rPr>
          <w:rFonts w:ascii="Noto Sans" w:hAnsi="Noto Sans" w:cs="Noto Sans"/>
          <w:sz w:val="18"/>
          <w:szCs w:val="18"/>
        </w:rPr>
        <w:t>) El</w:t>
      </w:r>
      <w:r w:rsidR="007C594A" w:rsidRPr="007C594A">
        <w:rPr>
          <w:rFonts w:ascii="Noto Sans" w:hAnsi="Noto Sans" w:cs="Noto Sans"/>
          <w:sz w:val="18"/>
          <w:szCs w:val="18"/>
        </w:rPr>
        <w:t xml:space="preserve"> Instituto presenta en el activo intangible las obligaciones laborales no fondeadas y ya reconocidas en los resultados de ejercicios anteriores, en cumplimiento al lineamiento contable “E.- Obligaciones Laborales”, así como a la guía 33 Obligaciones Laborales incluidos en el MCGSPF emitido por la Unidad de Contabilidad Gubernamental (UCG) de la SHCP.</w:t>
      </w:r>
    </w:p>
    <w:p w14:paraId="2E795B03" w14:textId="77777777" w:rsidR="007C594A" w:rsidRDefault="007C594A" w:rsidP="005A74F5">
      <w:pPr>
        <w:pStyle w:val="Prrafodelista"/>
        <w:tabs>
          <w:tab w:val="left" w:pos="11199"/>
        </w:tabs>
        <w:spacing w:after="120" w:line="250" w:lineRule="exact"/>
        <w:jc w:val="both"/>
        <w:rPr>
          <w:rFonts w:ascii="Noto Sans" w:hAnsi="Noto Sans" w:cs="Noto Sans"/>
          <w:sz w:val="18"/>
          <w:szCs w:val="18"/>
        </w:rPr>
      </w:pPr>
    </w:p>
    <w:p w14:paraId="00A548FA" w14:textId="76D74F3C" w:rsidR="007C594A" w:rsidRDefault="00253FAD" w:rsidP="005A74F5">
      <w:pPr>
        <w:pStyle w:val="Prrafodelista"/>
        <w:numPr>
          <w:ilvl w:val="0"/>
          <w:numId w:val="15"/>
        </w:numPr>
        <w:tabs>
          <w:tab w:val="left" w:pos="11199"/>
        </w:tabs>
        <w:spacing w:after="120" w:line="250" w:lineRule="exact"/>
        <w:jc w:val="both"/>
        <w:rPr>
          <w:rFonts w:ascii="Noto Sans" w:hAnsi="Noto Sans" w:cs="Noto Sans"/>
          <w:sz w:val="18"/>
          <w:szCs w:val="18"/>
        </w:rPr>
      </w:pPr>
      <w:r>
        <w:rPr>
          <w:rFonts w:ascii="Noto Sans" w:hAnsi="Noto Sans" w:cs="Noto Sans"/>
          <w:sz w:val="18"/>
          <w:szCs w:val="18"/>
        </w:rPr>
        <w:t>3</w:t>
      </w:r>
      <w:r w:rsidR="007C594A" w:rsidRPr="007C594A">
        <w:rPr>
          <w:rFonts w:ascii="Noto Sans" w:hAnsi="Noto Sans" w:cs="Noto Sans"/>
          <w:sz w:val="18"/>
          <w:szCs w:val="18"/>
        </w:rPr>
        <w:t>.11.b</w:t>
      </w:r>
      <w:r w:rsidR="0081738F" w:rsidRPr="007C594A">
        <w:rPr>
          <w:rFonts w:ascii="Noto Sans" w:hAnsi="Noto Sans" w:cs="Noto Sans"/>
          <w:sz w:val="18"/>
          <w:szCs w:val="18"/>
        </w:rPr>
        <w:t>) El</w:t>
      </w:r>
      <w:r w:rsidR="007C594A" w:rsidRPr="007C594A">
        <w:rPr>
          <w:rFonts w:ascii="Noto Sans" w:hAnsi="Noto Sans" w:cs="Noto Sans"/>
          <w:sz w:val="18"/>
          <w:szCs w:val="18"/>
        </w:rPr>
        <w:t xml:space="preserve"> rubro de concesiones se integra por los derechos de aprovechamiento, uso y explotación de aguas del subsuelo, derivados de los títulos de concesión de dos Pozos, otorgados por la Comisión Nacional del Agua al Instituto.</w:t>
      </w:r>
    </w:p>
    <w:p w14:paraId="5FED4BDA" w14:textId="77777777" w:rsidR="007C594A" w:rsidRDefault="007C594A" w:rsidP="007C594A">
      <w:pPr>
        <w:tabs>
          <w:tab w:val="left" w:pos="11199"/>
        </w:tabs>
        <w:spacing w:after="120" w:line="250" w:lineRule="exact"/>
        <w:rPr>
          <w:rFonts w:ascii="Noto Sans" w:hAnsi="Noto Sans" w:cs="Noto Sans"/>
          <w:sz w:val="18"/>
          <w:szCs w:val="18"/>
        </w:rPr>
      </w:pPr>
    </w:p>
    <w:p w14:paraId="68D411DC" w14:textId="77777777" w:rsidR="007C594A" w:rsidRDefault="00253FAD" w:rsidP="00ED1D2E">
      <w:pPr>
        <w:pStyle w:val="Prrafodelista"/>
        <w:numPr>
          <w:ilvl w:val="0"/>
          <w:numId w:val="19"/>
        </w:numPr>
        <w:spacing w:after="120" w:line="250" w:lineRule="exact"/>
        <w:ind w:left="357" w:hanging="357"/>
        <w:rPr>
          <w:rFonts w:ascii="Noto Sans" w:hAnsi="Noto Sans" w:cs="Noto Sans"/>
          <w:sz w:val="18"/>
          <w:szCs w:val="18"/>
        </w:rPr>
      </w:pPr>
      <w:r>
        <w:rPr>
          <w:rFonts w:ascii="Noto Sans" w:hAnsi="Noto Sans" w:cs="Noto Sans"/>
          <w:sz w:val="18"/>
          <w:szCs w:val="18"/>
        </w:rPr>
        <w:t>3</w:t>
      </w:r>
      <w:r w:rsidR="007C594A" w:rsidRPr="007C594A">
        <w:rPr>
          <w:rFonts w:ascii="Noto Sans" w:hAnsi="Noto Sans" w:cs="Noto Sans"/>
          <w:sz w:val="18"/>
          <w:szCs w:val="18"/>
        </w:rPr>
        <w:t>.12 Depreciación, Deterioro y Amortización Acumulada de Bienes</w:t>
      </w:r>
    </w:p>
    <w:p w14:paraId="2ABE0249" w14:textId="52629A18" w:rsidR="007C594A" w:rsidRDefault="004C72F3" w:rsidP="007C594A">
      <w:pPr>
        <w:spacing w:after="120" w:line="250" w:lineRule="exact"/>
        <w:rPr>
          <w:rFonts w:ascii="Noto Sans" w:hAnsi="Noto Sans" w:cs="Noto Sans"/>
          <w:sz w:val="18"/>
        </w:rPr>
      </w:pPr>
      <w:r w:rsidRPr="007574CD">
        <w:rPr>
          <w:rFonts w:ascii="Noto Sans" w:hAnsi="Noto Sans" w:cs="Noto Sans"/>
          <w:sz w:val="18"/>
          <w:szCs w:val="18"/>
        </w:rPr>
        <w:t>A</w:t>
      </w:r>
      <w:r w:rsidRPr="000F4D76">
        <w:rPr>
          <w:rFonts w:ascii="Noto Sans" w:hAnsi="Noto Sans" w:cs="Noto Sans"/>
          <w:sz w:val="18"/>
          <w:szCs w:val="18"/>
        </w:rPr>
        <w:t xml:space="preserve">l </w:t>
      </w:r>
      <w:r w:rsidR="00D347AD" w:rsidRPr="007574CD">
        <w:rPr>
          <w:rFonts w:ascii="Noto Sans" w:hAnsi="Noto Sans" w:cs="Noto Sans"/>
          <w:sz w:val="18"/>
          <w:szCs w:val="18"/>
        </w:rPr>
        <w:t>30 de junio</w:t>
      </w:r>
      <w:r w:rsidR="00D347AD" w:rsidRPr="002B3F78">
        <w:rPr>
          <w:rFonts w:cs="Noto Sans"/>
          <w:szCs w:val="18"/>
        </w:rPr>
        <w:t xml:space="preserve"> </w:t>
      </w:r>
      <w:r w:rsidRPr="000F4D76">
        <w:rPr>
          <w:rFonts w:ascii="Noto Sans" w:hAnsi="Noto Sans" w:cs="Noto Sans"/>
          <w:sz w:val="18"/>
          <w:szCs w:val="18"/>
        </w:rPr>
        <w:t>de 2025 y 31 de diciembre de 2024</w:t>
      </w:r>
      <w:r w:rsidR="007C594A" w:rsidRPr="007C594A">
        <w:rPr>
          <w:rFonts w:ascii="Noto Sans" w:hAnsi="Noto Sans" w:cs="Noto Sans"/>
          <w:sz w:val="18"/>
        </w:rPr>
        <w:t>, este rubro se integra de la siguiente manera:</w:t>
      </w:r>
    </w:p>
    <w:p w14:paraId="566A6A6F" w14:textId="77777777" w:rsidR="00621710" w:rsidRPr="007C594A" w:rsidRDefault="00621710" w:rsidP="007C594A">
      <w:pPr>
        <w:spacing w:after="120" w:line="250" w:lineRule="exact"/>
        <w:rPr>
          <w:rFonts w:ascii="Noto Sans" w:hAnsi="Noto Sans" w:cs="Noto Sans"/>
          <w:sz w:val="14"/>
          <w:szCs w:val="18"/>
        </w:rPr>
      </w:pPr>
    </w:p>
    <w:tbl>
      <w:tblPr>
        <w:tblW w:w="0" w:type="auto"/>
        <w:jc w:val="center"/>
        <w:tblCellMar>
          <w:left w:w="70" w:type="dxa"/>
          <w:right w:w="70" w:type="dxa"/>
        </w:tblCellMar>
        <w:tblLook w:val="0480" w:firstRow="0" w:lastRow="0" w:firstColumn="1" w:lastColumn="0" w:noHBand="0" w:noVBand="1"/>
      </w:tblPr>
      <w:tblGrid>
        <w:gridCol w:w="5527"/>
        <w:gridCol w:w="1978"/>
        <w:gridCol w:w="1980"/>
      </w:tblGrid>
      <w:tr w:rsidR="007C594A" w:rsidRPr="005946C5" w14:paraId="30594B3E" w14:textId="77777777" w:rsidTr="00271436">
        <w:trPr>
          <w:trHeight w:val="99"/>
          <w:jc w:val="center"/>
        </w:trPr>
        <w:tc>
          <w:tcPr>
            <w:tcW w:w="5527"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B81FBD7"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58" w:type="dxa"/>
            <w:gridSpan w:val="2"/>
            <w:tcBorders>
              <w:top w:val="double" w:sz="12" w:space="0" w:color="A6802D"/>
              <w:left w:val="nil"/>
              <w:bottom w:val="single" w:sz="12" w:space="0" w:color="FFFFFF"/>
            </w:tcBorders>
            <w:shd w:val="clear" w:color="auto" w:fill="A6802D"/>
            <w:vAlign w:val="center"/>
            <w:hideMark/>
          </w:tcPr>
          <w:p w14:paraId="54A746F0"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7C594A" w:rsidRPr="005946C5" w14:paraId="4655B58F" w14:textId="77777777" w:rsidTr="00271436">
        <w:trPr>
          <w:trHeight w:val="33"/>
          <w:jc w:val="center"/>
        </w:trPr>
        <w:tc>
          <w:tcPr>
            <w:tcW w:w="5527" w:type="dxa"/>
            <w:vMerge/>
            <w:tcBorders>
              <w:top w:val="single" w:sz="12" w:space="0" w:color="808080"/>
              <w:left w:val="nil"/>
              <w:bottom w:val="triple" w:sz="12" w:space="0" w:color="A6802D"/>
              <w:right w:val="single" w:sz="12" w:space="0" w:color="FFFFFF"/>
            </w:tcBorders>
            <w:shd w:val="clear" w:color="auto" w:fill="A6802D"/>
            <w:vAlign w:val="center"/>
            <w:hideMark/>
          </w:tcPr>
          <w:p w14:paraId="6CA84C22" w14:textId="77777777" w:rsidR="007C594A" w:rsidRPr="008E629A" w:rsidRDefault="007C594A" w:rsidP="003711A6">
            <w:pPr>
              <w:spacing w:after="0" w:line="240" w:lineRule="exact"/>
              <w:jc w:val="center"/>
              <w:rPr>
                <w:rFonts w:ascii="Noto Sans" w:eastAsia="Times New Roman" w:hAnsi="Noto Sans" w:cs="Noto Sans"/>
                <w:b/>
                <w:bCs/>
                <w:color w:val="FFFFFF"/>
                <w:sz w:val="16"/>
                <w:szCs w:val="16"/>
                <w:lang w:eastAsia="es-MX"/>
              </w:rPr>
            </w:pPr>
          </w:p>
        </w:tc>
        <w:tc>
          <w:tcPr>
            <w:tcW w:w="1978" w:type="dxa"/>
            <w:tcBorders>
              <w:top w:val="nil"/>
              <w:left w:val="nil"/>
              <w:bottom w:val="triple" w:sz="12" w:space="0" w:color="A6802D"/>
              <w:right w:val="single" w:sz="12" w:space="0" w:color="FFFFFF"/>
            </w:tcBorders>
            <w:shd w:val="clear" w:color="auto" w:fill="A6802D"/>
            <w:vAlign w:val="center"/>
          </w:tcPr>
          <w:p w14:paraId="0F7DA08D" w14:textId="25BAEE7E"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5</w:t>
            </w:r>
          </w:p>
        </w:tc>
        <w:tc>
          <w:tcPr>
            <w:tcW w:w="1979" w:type="dxa"/>
            <w:tcBorders>
              <w:top w:val="nil"/>
              <w:left w:val="nil"/>
              <w:bottom w:val="triple" w:sz="12" w:space="0" w:color="A6802D"/>
            </w:tcBorders>
            <w:shd w:val="clear" w:color="auto" w:fill="A6802D"/>
            <w:vAlign w:val="center"/>
          </w:tcPr>
          <w:p w14:paraId="6184FFC9" w14:textId="596A84F2" w:rsidR="007C594A" w:rsidRPr="008E629A" w:rsidRDefault="007C594A" w:rsidP="003019E2">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3019E2">
              <w:rPr>
                <w:rFonts w:ascii="Noto Sans" w:eastAsia="Times New Roman" w:hAnsi="Noto Sans" w:cs="Noto Sans"/>
                <w:b/>
                <w:bCs/>
                <w:color w:val="FFFFFF"/>
                <w:sz w:val="16"/>
                <w:szCs w:val="16"/>
                <w:lang w:eastAsia="es-MX"/>
              </w:rPr>
              <w:t>4</w:t>
            </w:r>
          </w:p>
        </w:tc>
      </w:tr>
      <w:tr w:rsidR="00FD24C2" w:rsidRPr="005946C5" w14:paraId="68EEA0DF" w14:textId="77777777" w:rsidTr="00271436">
        <w:trPr>
          <w:trHeight w:val="338"/>
          <w:jc w:val="center"/>
        </w:trPr>
        <w:tc>
          <w:tcPr>
            <w:tcW w:w="5527" w:type="dxa"/>
            <w:tcBorders>
              <w:top w:val="triple" w:sz="12" w:space="0" w:color="A6802D"/>
              <w:left w:val="nil"/>
              <w:bottom w:val="nil"/>
              <w:right w:val="nil"/>
            </w:tcBorders>
            <w:shd w:val="clear" w:color="000000" w:fill="F2F2F2"/>
            <w:vAlign w:val="center"/>
          </w:tcPr>
          <w:p w14:paraId="61230C3C" w14:textId="416998DB" w:rsidR="00FD24C2" w:rsidRPr="00253FAD" w:rsidRDefault="00FD24C2" w:rsidP="00FD24C2">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Bienes Muebles </w:t>
            </w:r>
            <w:r>
              <w:rPr>
                <w:rFonts w:ascii="Noto Sans" w:hAnsi="Noto Sans" w:cs="Noto Sans"/>
                <w:b/>
                <w:bCs/>
                <w:color w:val="000000"/>
                <w:sz w:val="15"/>
                <w:szCs w:val="15"/>
              </w:rPr>
              <w:t>(3.10)</w:t>
            </w:r>
          </w:p>
        </w:tc>
        <w:tc>
          <w:tcPr>
            <w:tcW w:w="1978" w:type="dxa"/>
            <w:tcBorders>
              <w:top w:val="triple" w:sz="12" w:space="0" w:color="A6802D"/>
              <w:left w:val="nil"/>
              <w:bottom w:val="nil"/>
              <w:right w:val="nil"/>
            </w:tcBorders>
            <w:shd w:val="clear" w:color="000000" w:fill="F2F2F2"/>
            <w:vAlign w:val="center"/>
          </w:tcPr>
          <w:p w14:paraId="1899391C" w14:textId="1C3164A6" w:rsidR="00FD24C2" w:rsidRPr="00253FAD" w:rsidRDefault="00FD24C2" w:rsidP="00FD24C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-52,010,882,816.</w:t>
            </w:r>
            <w:r w:rsidR="00F35BAF">
              <w:rPr>
                <w:rFonts w:ascii="Noto Sans" w:hAnsi="Noto Sans" w:cs="Noto Sans"/>
                <w:color w:val="000000"/>
                <w:sz w:val="15"/>
                <w:szCs w:val="15"/>
              </w:rPr>
              <w:t>2</w:t>
            </w:r>
          </w:p>
        </w:tc>
        <w:tc>
          <w:tcPr>
            <w:tcW w:w="1979" w:type="dxa"/>
            <w:tcBorders>
              <w:top w:val="triple" w:sz="12" w:space="0" w:color="A6802D"/>
              <w:left w:val="nil"/>
              <w:bottom w:val="nil"/>
              <w:right w:val="nil"/>
            </w:tcBorders>
            <w:shd w:val="clear" w:color="000000" w:fill="F2F2F2"/>
            <w:vAlign w:val="center"/>
          </w:tcPr>
          <w:p w14:paraId="49309C72" w14:textId="2DAFDC02" w:rsidR="00FD24C2" w:rsidRPr="00253FAD" w:rsidRDefault="00FD24C2" w:rsidP="00FD24C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-50,142,111,430.6</w:t>
            </w:r>
          </w:p>
        </w:tc>
      </w:tr>
      <w:tr w:rsidR="00FD24C2" w:rsidRPr="00FC0913" w14:paraId="5D574E70" w14:textId="77777777" w:rsidTr="00271436">
        <w:trPr>
          <w:trHeight w:val="338"/>
          <w:jc w:val="center"/>
        </w:trPr>
        <w:tc>
          <w:tcPr>
            <w:tcW w:w="5527" w:type="dxa"/>
            <w:tcBorders>
              <w:top w:val="nil"/>
              <w:left w:val="nil"/>
              <w:bottom w:val="nil"/>
              <w:right w:val="nil"/>
            </w:tcBorders>
            <w:shd w:val="clear" w:color="000000" w:fill="F2F2F2"/>
            <w:vAlign w:val="center"/>
          </w:tcPr>
          <w:p w14:paraId="259E7496" w14:textId="5DDCC32A" w:rsidR="00FD24C2" w:rsidRPr="00253FAD" w:rsidRDefault="00FD24C2" w:rsidP="00FD24C2">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Bienes Inmuebles </w:t>
            </w:r>
            <w:r>
              <w:rPr>
                <w:rFonts w:ascii="Noto Sans" w:hAnsi="Noto Sans" w:cs="Noto Sans"/>
                <w:b/>
                <w:bCs/>
                <w:color w:val="000000"/>
                <w:sz w:val="15"/>
                <w:szCs w:val="15"/>
              </w:rPr>
              <w:t>(3.9)</w:t>
            </w:r>
          </w:p>
        </w:tc>
        <w:tc>
          <w:tcPr>
            <w:tcW w:w="1978" w:type="dxa"/>
            <w:tcBorders>
              <w:top w:val="nil"/>
              <w:left w:val="nil"/>
              <w:bottom w:val="nil"/>
              <w:right w:val="nil"/>
            </w:tcBorders>
            <w:shd w:val="clear" w:color="000000" w:fill="F2F2F2"/>
            <w:vAlign w:val="center"/>
          </w:tcPr>
          <w:p w14:paraId="4AEB75B5" w14:textId="08C57F4C" w:rsidR="00FD24C2" w:rsidRPr="00253FAD" w:rsidRDefault="00FD24C2" w:rsidP="00FD24C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-30,435,559,048.9</w:t>
            </w:r>
          </w:p>
        </w:tc>
        <w:tc>
          <w:tcPr>
            <w:tcW w:w="1979" w:type="dxa"/>
            <w:tcBorders>
              <w:top w:val="nil"/>
              <w:left w:val="nil"/>
              <w:bottom w:val="nil"/>
              <w:right w:val="nil"/>
            </w:tcBorders>
            <w:shd w:val="clear" w:color="000000" w:fill="F2F2F2"/>
            <w:vAlign w:val="center"/>
          </w:tcPr>
          <w:p w14:paraId="460F8B14" w14:textId="37A2F8A7" w:rsidR="00FD24C2" w:rsidRPr="00253FAD" w:rsidRDefault="00FD24C2" w:rsidP="00FD24C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-30,047,933,628.2</w:t>
            </w:r>
          </w:p>
        </w:tc>
      </w:tr>
      <w:tr w:rsidR="00FD24C2" w:rsidRPr="00FC0913" w14:paraId="3AE99324" w14:textId="77777777" w:rsidTr="00271436">
        <w:trPr>
          <w:trHeight w:val="338"/>
          <w:jc w:val="center"/>
        </w:trPr>
        <w:tc>
          <w:tcPr>
            <w:tcW w:w="5527" w:type="dxa"/>
            <w:tcBorders>
              <w:top w:val="nil"/>
              <w:left w:val="nil"/>
              <w:bottom w:val="nil"/>
              <w:right w:val="nil"/>
            </w:tcBorders>
            <w:shd w:val="clear" w:color="000000" w:fill="F2F2F2"/>
            <w:vAlign w:val="center"/>
          </w:tcPr>
          <w:p w14:paraId="79690629" w14:textId="52D3B2D3" w:rsidR="00FD24C2" w:rsidRPr="00253FAD" w:rsidRDefault="00FD24C2" w:rsidP="00FD24C2">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Amortización de Activos Intangibles</w:t>
            </w:r>
          </w:p>
        </w:tc>
        <w:tc>
          <w:tcPr>
            <w:tcW w:w="1978" w:type="dxa"/>
            <w:tcBorders>
              <w:top w:val="nil"/>
              <w:left w:val="nil"/>
              <w:bottom w:val="nil"/>
              <w:right w:val="nil"/>
            </w:tcBorders>
            <w:shd w:val="clear" w:color="000000" w:fill="F2F2F2"/>
            <w:vAlign w:val="center"/>
          </w:tcPr>
          <w:p w14:paraId="4D1E4D2D" w14:textId="7764C2CD" w:rsidR="00FD24C2" w:rsidRPr="00253FAD" w:rsidRDefault="00FD24C2" w:rsidP="00FD24C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-12,512,080.5</w:t>
            </w:r>
          </w:p>
        </w:tc>
        <w:tc>
          <w:tcPr>
            <w:tcW w:w="1979" w:type="dxa"/>
            <w:tcBorders>
              <w:top w:val="nil"/>
              <w:left w:val="nil"/>
              <w:bottom w:val="nil"/>
              <w:right w:val="nil"/>
            </w:tcBorders>
            <w:shd w:val="clear" w:color="000000" w:fill="F2F2F2"/>
            <w:vAlign w:val="center"/>
          </w:tcPr>
          <w:p w14:paraId="1E83A1F9" w14:textId="2E6866F6" w:rsidR="00FD24C2" w:rsidRPr="00253FAD" w:rsidRDefault="00FD24C2" w:rsidP="00FD24C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-12,512,080.5</w:t>
            </w:r>
          </w:p>
        </w:tc>
      </w:tr>
      <w:tr w:rsidR="00FD24C2" w:rsidRPr="005946C5" w14:paraId="73E3297B" w14:textId="77777777" w:rsidTr="00271436">
        <w:trPr>
          <w:trHeight w:val="338"/>
          <w:jc w:val="center"/>
        </w:trPr>
        <w:tc>
          <w:tcPr>
            <w:tcW w:w="5527" w:type="dxa"/>
            <w:tcBorders>
              <w:top w:val="nil"/>
              <w:left w:val="nil"/>
              <w:bottom w:val="single" w:sz="12" w:space="0" w:color="A6802D"/>
              <w:right w:val="nil"/>
            </w:tcBorders>
            <w:shd w:val="clear" w:color="000000" w:fill="F2F2F2"/>
            <w:vAlign w:val="center"/>
          </w:tcPr>
          <w:p w14:paraId="2DBEA312" w14:textId="0FD7B4A7" w:rsidR="00FD24C2" w:rsidRPr="00253FAD" w:rsidRDefault="00FD24C2" w:rsidP="00FD24C2">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Depreciación, Deterioro y Amortización Acumulada de Bienes</w:t>
            </w:r>
          </w:p>
        </w:tc>
        <w:tc>
          <w:tcPr>
            <w:tcW w:w="1978" w:type="dxa"/>
            <w:tcBorders>
              <w:top w:val="nil"/>
              <w:left w:val="nil"/>
              <w:bottom w:val="single" w:sz="12" w:space="0" w:color="A6802D"/>
              <w:right w:val="nil"/>
            </w:tcBorders>
            <w:shd w:val="clear" w:color="000000" w:fill="F2F2F2"/>
            <w:vAlign w:val="center"/>
          </w:tcPr>
          <w:p w14:paraId="0582BEF6" w14:textId="4272477E" w:rsidR="00FD24C2" w:rsidRPr="00253FAD" w:rsidRDefault="00FD24C2" w:rsidP="00FD24C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-82,458,953,945.</w:t>
            </w:r>
            <w:r w:rsidR="00F35BAF">
              <w:rPr>
                <w:rFonts w:ascii="Noto Sans" w:hAnsi="Noto Sans" w:cs="Noto Sans"/>
                <w:b/>
                <w:bCs/>
                <w:color w:val="000000"/>
                <w:sz w:val="15"/>
                <w:szCs w:val="15"/>
              </w:rPr>
              <w:t>6</w:t>
            </w:r>
          </w:p>
        </w:tc>
        <w:tc>
          <w:tcPr>
            <w:tcW w:w="1979" w:type="dxa"/>
            <w:tcBorders>
              <w:top w:val="nil"/>
              <w:left w:val="nil"/>
              <w:bottom w:val="single" w:sz="12" w:space="0" w:color="A6802D"/>
              <w:right w:val="nil"/>
            </w:tcBorders>
            <w:shd w:val="clear" w:color="000000" w:fill="F2F2F2"/>
            <w:vAlign w:val="center"/>
          </w:tcPr>
          <w:p w14:paraId="03E4998B" w14:textId="048B4D99" w:rsidR="00FD24C2" w:rsidRPr="00253FAD" w:rsidRDefault="00FD24C2" w:rsidP="00FD24C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-80,202,557,139.3</w:t>
            </w:r>
          </w:p>
        </w:tc>
      </w:tr>
      <w:tr w:rsidR="007C594A" w:rsidRPr="00274555" w14:paraId="523CED5E" w14:textId="77777777" w:rsidTr="00271436">
        <w:trPr>
          <w:trHeight w:val="270"/>
          <w:jc w:val="center"/>
        </w:trPr>
        <w:tc>
          <w:tcPr>
            <w:tcW w:w="5527" w:type="dxa"/>
            <w:tcBorders>
              <w:top w:val="single" w:sz="12" w:space="0" w:color="A6802D"/>
              <w:left w:val="nil"/>
              <w:right w:val="nil"/>
            </w:tcBorders>
            <w:vAlign w:val="center"/>
          </w:tcPr>
          <w:p w14:paraId="6CBB5887" w14:textId="77777777" w:rsidR="007C594A" w:rsidRPr="00274555" w:rsidRDefault="007C594A"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78" w:type="dxa"/>
            <w:tcBorders>
              <w:top w:val="single" w:sz="12" w:space="0" w:color="A6802D"/>
              <w:left w:val="nil"/>
              <w:right w:val="nil"/>
            </w:tcBorders>
            <w:vAlign w:val="center"/>
          </w:tcPr>
          <w:p w14:paraId="6A403531"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c>
          <w:tcPr>
            <w:tcW w:w="1979" w:type="dxa"/>
            <w:tcBorders>
              <w:top w:val="single" w:sz="12" w:space="0" w:color="A6802D"/>
              <w:left w:val="nil"/>
              <w:right w:val="nil"/>
            </w:tcBorders>
            <w:vAlign w:val="center"/>
          </w:tcPr>
          <w:p w14:paraId="3C458646" w14:textId="77777777" w:rsidR="007C594A" w:rsidRPr="00274555" w:rsidRDefault="007C594A" w:rsidP="003711A6">
            <w:pPr>
              <w:spacing w:after="0" w:line="240" w:lineRule="auto"/>
              <w:jc w:val="both"/>
              <w:rPr>
                <w:rFonts w:ascii="Noto Sans" w:eastAsia="Times New Roman" w:hAnsi="Noto Sans" w:cs="Noto Sans"/>
                <w:b/>
                <w:bCs/>
                <w:color w:val="000000"/>
                <w:sz w:val="14"/>
                <w:szCs w:val="14"/>
                <w:lang w:eastAsia="es-MX"/>
              </w:rPr>
            </w:pPr>
          </w:p>
        </w:tc>
      </w:tr>
    </w:tbl>
    <w:p w14:paraId="1F324699" w14:textId="77777777" w:rsidR="003C1362" w:rsidRDefault="003C1362" w:rsidP="007C594A">
      <w:pPr>
        <w:pStyle w:val="TEXTONORMAL"/>
      </w:pPr>
    </w:p>
    <w:p w14:paraId="525EADED" w14:textId="3FA45A8A" w:rsidR="007C594A" w:rsidRPr="006A5D9B" w:rsidRDefault="007C594A" w:rsidP="007C594A">
      <w:pPr>
        <w:pStyle w:val="TEXTONORMAL"/>
      </w:pPr>
      <w:r w:rsidRPr="00924CBD">
        <w:t>La depreciación</w:t>
      </w:r>
      <w:r w:rsidRPr="006A5D9B">
        <w:t xml:space="preserve"> de los inmuebles, mobiliario y equipo se calcula utilizando el mé</w:t>
      </w:r>
      <w:r>
        <w:t>todo de línea recta con base en</w:t>
      </w:r>
      <w:r w:rsidRPr="006A5D9B">
        <w:t xml:space="preserve"> su vida útil estimada, sobre el valor de los activos históricos.</w:t>
      </w:r>
    </w:p>
    <w:p w14:paraId="15434D45" w14:textId="77777777" w:rsidR="007C594A" w:rsidRDefault="007C594A" w:rsidP="007C594A">
      <w:pPr>
        <w:pStyle w:val="TEXTONORMAL"/>
      </w:pPr>
      <w:r>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por cambios en el nivel general de precios utilizado hasta el 30 de junio de 1997, lo anterior, de acuerdo a la metodología autorizada por la Secretaría de Contraloría y Desarrollo </w:t>
      </w:r>
      <w:r w:rsidRPr="00FB415E">
        <w:t>Administrativo y aprobada por el H. Consejo Técnico. Posterior a este reconocimiento</w:t>
      </w:r>
      <w:r>
        <w:t>,</w:t>
      </w:r>
      <w:r w:rsidRPr="00FB415E">
        <w:t xml:space="preserve"> los valores fueron actualizados hasta el año 2007 con los factores derivados del</w:t>
      </w:r>
      <w:r>
        <w:t xml:space="preserve"> </w:t>
      </w:r>
      <w:r w:rsidRPr="00FB415E">
        <w:t xml:space="preserve">INPC, </w:t>
      </w:r>
      <w:r>
        <w:t>por lo</w:t>
      </w:r>
      <w:r w:rsidRPr="00FB415E">
        <w:t xml:space="preserve"> que, a partir del 01 de enero de 2008, el Instituto dejó de reconocer los efectos de la inflación en sus Estados Financieros por encontrarnos en un entorno económico no inflacionario, de conformidad con la </w:t>
      </w:r>
      <w:proofErr w:type="spellStart"/>
      <w:r w:rsidRPr="00FB415E">
        <w:t>NIFGG</w:t>
      </w:r>
      <w:proofErr w:type="spellEnd"/>
      <w:r w:rsidRPr="00FB415E">
        <w:t xml:space="preserve"> SP04 “</w:t>
      </w:r>
      <w:proofErr w:type="spellStart"/>
      <w:r w:rsidRPr="00FB415E">
        <w:t>Reexpresión</w:t>
      </w:r>
      <w:proofErr w:type="spellEnd"/>
      <w:r w:rsidRPr="00FB415E">
        <w:t>” vigente hasta el 2019.</w:t>
      </w:r>
    </w:p>
    <w:p w14:paraId="51F80052" w14:textId="77777777" w:rsidR="007C594A" w:rsidRPr="00042DD1" w:rsidRDefault="007C594A" w:rsidP="007C594A">
      <w:pPr>
        <w:pStyle w:val="TEXTONORMAL"/>
      </w:pPr>
      <w:r>
        <w:t xml:space="preserve">Según lo indicado en el MCGSPF, a partir del ejercicio de 2020 quedó sin efecto la </w:t>
      </w:r>
      <w:proofErr w:type="spellStart"/>
      <w:r>
        <w:t>NIFGG</w:t>
      </w:r>
      <w:proofErr w:type="spellEnd"/>
      <w:r>
        <w:t xml:space="preserve"> </w:t>
      </w:r>
      <w:proofErr w:type="spellStart"/>
      <w:r>
        <w:t>SP</w:t>
      </w:r>
      <w:proofErr w:type="spellEnd"/>
      <w:r>
        <w:t xml:space="preserve"> 04 </w:t>
      </w:r>
      <w:proofErr w:type="spellStart"/>
      <w:r>
        <w:t>Reexpresión</w:t>
      </w:r>
      <w:proofErr w:type="spellEnd"/>
      <w:r>
        <w:t xml:space="preserve">, y el criterio aplicable es el establecido en las Reglas Específicas del Registro y Valoración del Patrimonio aprobadas por el Consejo Nacional de Armonización Contable (CONAC), donde se indica que en cuanto a los valores históricos de la </w:t>
      </w:r>
      <w:proofErr w:type="spellStart"/>
      <w:r>
        <w:t>reexpresión</w:t>
      </w:r>
      <w:proofErr w:type="spellEnd"/>
      <w:r>
        <w:t xml:space="preserve"> presentados en los Estados Financieros, para los activos que se mantengan en poder de la entidad, permanecerán sin cambio respecto del criterio contable que les dio origen y</w:t>
      </w:r>
      <w:r w:rsidRPr="00042DD1">
        <w:t xml:space="preserve"> atendiendo a la Norma Internacional de C</w:t>
      </w:r>
      <w:r>
        <w:t xml:space="preserve">ontabilidad del Sector Público </w:t>
      </w:r>
      <w:r w:rsidRPr="00042DD1">
        <w:t>NICS 10-Información Financiera en Economías Hiperinflacionarias, se deberá actualizar el patrimonio cuando el Índice Nacional de</w:t>
      </w:r>
      <w:r>
        <w:t xml:space="preserve"> Precios al Consumidor acumulado</w:t>
      </w:r>
      <w:r w:rsidRPr="00042DD1">
        <w:t xml:space="preserve"> durante un periodo de tres años sea igual o superior al 100%.</w:t>
      </w:r>
    </w:p>
    <w:p w14:paraId="323122BB" w14:textId="77777777" w:rsidR="007C594A" w:rsidRDefault="007C594A" w:rsidP="007C594A">
      <w:pPr>
        <w:pStyle w:val="TEXTONORMAL"/>
      </w:pPr>
      <w:r w:rsidRPr="00042DD1">
        <w:t>Par</w:t>
      </w:r>
      <w:r w:rsidRPr="002D4FF3">
        <w:t>a los bienes actualizados por costos específicos en julio de 1997 se ha</w:t>
      </w:r>
      <w:r>
        <w:t>n</w:t>
      </w:r>
      <w:r w:rsidRPr="002D4FF3">
        <w:t xml:space="preserve"> venido aplicando la</w:t>
      </w:r>
      <w:r>
        <w:t>s</w:t>
      </w:r>
      <w:r w:rsidRPr="002D4FF3">
        <w:t xml:space="preserve"> tasa</w:t>
      </w:r>
      <w:r>
        <w:t>s vig</w:t>
      </w:r>
      <w:r w:rsidRPr="002D4FF3">
        <w:t>ente</w:t>
      </w:r>
      <w:r>
        <w:t>s</w:t>
      </w:r>
      <w:r w:rsidRPr="002D4FF3">
        <w:t xml:space="preserve"> considerada</w:t>
      </w:r>
      <w:r>
        <w:t>s</w:t>
      </w:r>
      <w:r w:rsidRPr="002D4FF3">
        <w:t xml:space="preserve"> en la política de depreciación, dentro de las que </w:t>
      </w:r>
      <w:r>
        <w:t>resalta la tasa del 1.5</w:t>
      </w:r>
      <w:r w:rsidRPr="002D4FF3">
        <w:t xml:space="preserve">% anual </w:t>
      </w:r>
      <w:r>
        <w:t>aplicada a</w:t>
      </w:r>
      <w:r w:rsidRPr="002D4FF3">
        <w:t xml:space="preserve"> los bienes</w:t>
      </w:r>
      <w:r>
        <w:t xml:space="preserve"> inmuebles, esta tasa de depreciación es aplicada hasta alcanzar el 75% del valor del inmueble.</w:t>
      </w:r>
    </w:p>
    <w:p w14:paraId="220E2AB7" w14:textId="77777777" w:rsidR="00621710" w:rsidRDefault="00621710" w:rsidP="00253FAD">
      <w:pPr>
        <w:pStyle w:val="TEXTONORMAL"/>
        <w:tabs>
          <w:tab w:val="left" w:pos="3270"/>
        </w:tabs>
      </w:pPr>
    </w:p>
    <w:p w14:paraId="3C8915C2" w14:textId="77777777" w:rsidR="00777470" w:rsidRDefault="00777470" w:rsidP="00253FAD">
      <w:pPr>
        <w:pStyle w:val="TEXTONORMAL"/>
        <w:tabs>
          <w:tab w:val="left" w:pos="3270"/>
        </w:tabs>
      </w:pPr>
    </w:p>
    <w:p w14:paraId="1B8F164E" w14:textId="77777777" w:rsidR="00777470" w:rsidRDefault="00777470" w:rsidP="00253FAD">
      <w:pPr>
        <w:pStyle w:val="TEXTONORMAL"/>
        <w:tabs>
          <w:tab w:val="left" w:pos="3270"/>
        </w:tabs>
      </w:pPr>
    </w:p>
    <w:p w14:paraId="439DAB3C" w14:textId="77777777" w:rsidR="00777470" w:rsidRDefault="00777470" w:rsidP="00253FAD">
      <w:pPr>
        <w:pStyle w:val="TEXTONORMAL"/>
        <w:tabs>
          <w:tab w:val="left" w:pos="3270"/>
        </w:tabs>
      </w:pPr>
    </w:p>
    <w:p w14:paraId="4050FC2F" w14:textId="77777777" w:rsidR="00777470" w:rsidRDefault="00777470" w:rsidP="00253FAD">
      <w:pPr>
        <w:pStyle w:val="TEXTONORMAL"/>
        <w:tabs>
          <w:tab w:val="left" w:pos="3270"/>
        </w:tabs>
      </w:pPr>
    </w:p>
    <w:p w14:paraId="32CC93B7" w14:textId="77777777" w:rsidR="00777470" w:rsidRDefault="00777470" w:rsidP="00253FAD">
      <w:pPr>
        <w:pStyle w:val="TEXTONORMAL"/>
        <w:tabs>
          <w:tab w:val="left" w:pos="3270"/>
        </w:tabs>
      </w:pPr>
    </w:p>
    <w:p w14:paraId="0A6A7E4B" w14:textId="77777777" w:rsidR="00777470" w:rsidRDefault="00777470" w:rsidP="00253FAD">
      <w:pPr>
        <w:pStyle w:val="TEXTONORMAL"/>
        <w:tabs>
          <w:tab w:val="left" w:pos="3270"/>
        </w:tabs>
      </w:pPr>
    </w:p>
    <w:p w14:paraId="2C6CCA04" w14:textId="77777777" w:rsidR="00E4654E" w:rsidRDefault="00E4654E" w:rsidP="00253FAD">
      <w:pPr>
        <w:pStyle w:val="TEXTONORMAL"/>
        <w:tabs>
          <w:tab w:val="left" w:pos="3270"/>
        </w:tabs>
      </w:pPr>
    </w:p>
    <w:p w14:paraId="5451EA2C" w14:textId="77777777" w:rsidR="00E4654E" w:rsidRDefault="00E4654E" w:rsidP="00253FAD">
      <w:pPr>
        <w:pStyle w:val="TEXTONORMAL"/>
        <w:tabs>
          <w:tab w:val="left" w:pos="3270"/>
        </w:tabs>
      </w:pPr>
    </w:p>
    <w:p w14:paraId="16E764E8" w14:textId="77777777" w:rsidR="00E4654E" w:rsidRDefault="00E4654E" w:rsidP="00253FAD">
      <w:pPr>
        <w:pStyle w:val="TEXTONORMAL"/>
        <w:tabs>
          <w:tab w:val="left" w:pos="3270"/>
        </w:tabs>
      </w:pPr>
    </w:p>
    <w:p w14:paraId="50039E88" w14:textId="77777777" w:rsidR="00777470" w:rsidRDefault="00777470" w:rsidP="00253FAD">
      <w:pPr>
        <w:pStyle w:val="TEXTONORMAL"/>
        <w:tabs>
          <w:tab w:val="left" w:pos="3270"/>
        </w:tabs>
      </w:pPr>
    </w:p>
    <w:p w14:paraId="14896C99" w14:textId="77777777" w:rsidR="00B1582B" w:rsidRDefault="00B1582B" w:rsidP="00ED1D2E">
      <w:pPr>
        <w:pStyle w:val="TEXTONORMAL"/>
        <w:numPr>
          <w:ilvl w:val="0"/>
          <w:numId w:val="9"/>
        </w:numPr>
        <w:spacing w:before="240"/>
        <w:ind w:left="0" w:firstLine="0"/>
        <w:jc w:val="left"/>
        <w:rPr>
          <w:rFonts w:cs="Noto Sans"/>
          <w:b/>
          <w:sz w:val="22"/>
        </w:rPr>
      </w:pPr>
      <w:r>
        <w:rPr>
          <w:rFonts w:cs="Noto Sans"/>
          <w:b/>
          <w:sz w:val="22"/>
        </w:rPr>
        <w:lastRenderedPageBreak/>
        <w:t xml:space="preserve">PASIVO </w:t>
      </w:r>
    </w:p>
    <w:p w14:paraId="7717F34F" w14:textId="77777777" w:rsidR="00B1582B" w:rsidRDefault="00AC36C2" w:rsidP="00121C87">
      <w:pPr>
        <w:pStyle w:val="SUBTITULO2"/>
        <w:rPr>
          <w:rFonts w:ascii="Noto Sans" w:hAnsi="Noto Sans" w:cs="Noto Sans"/>
        </w:rPr>
      </w:pPr>
      <w:r>
        <w:rPr>
          <w:rFonts w:ascii="Noto Sans" w:hAnsi="Noto Sans" w:cs="Noto Sans"/>
        </w:rPr>
        <w:t>PASI</w:t>
      </w:r>
      <w:r w:rsidR="00B1582B" w:rsidRPr="00E70EB0">
        <w:rPr>
          <w:rFonts w:ascii="Noto Sans" w:hAnsi="Noto Sans" w:cs="Noto Sans"/>
        </w:rPr>
        <w:t>vo circulante</w:t>
      </w:r>
    </w:p>
    <w:p w14:paraId="6CDE13B5" w14:textId="77777777" w:rsidR="003C4851" w:rsidRPr="003C4851" w:rsidRDefault="003C4851" w:rsidP="003C4851">
      <w:pPr>
        <w:pStyle w:val="TEXTONORMAL"/>
      </w:pPr>
    </w:p>
    <w:p w14:paraId="1EA70A41" w14:textId="77777777" w:rsidR="003C4851" w:rsidRPr="00665FA4" w:rsidRDefault="00665FA4" w:rsidP="003C4851">
      <w:pPr>
        <w:pStyle w:val="Prrafodelista"/>
        <w:numPr>
          <w:ilvl w:val="0"/>
          <w:numId w:val="19"/>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3C4851">
        <w:rPr>
          <w:rFonts w:ascii="Noto Sans" w:hAnsi="Noto Sans" w:cs="Noto Sans"/>
          <w:sz w:val="18"/>
          <w:szCs w:val="18"/>
        </w:rPr>
        <w:t>.1 Cuentas por Pagar a Corto Plazo</w:t>
      </w:r>
    </w:p>
    <w:p w14:paraId="09413110" w14:textId="57BAE804" w:rsidR="003C4851" w:rsidRDefault="004C72F3" w:rsidP="003C4851">
      <w:pPr>
        <w:pStyle w:val="TEXTONORMAL"/>
      </w:pPr>
      <w:r>
        <w:rPr>
          <w:rFonts w:cs="Noto Sans"/>
          <w:szCs w:val="18"/>
        </w:rPr>
        <w:t>A</w:t>
      </w:r>
      <w:r w:rsidRPr="000F4D76">
        <w:rPr>
          <w:rFonts w:cs="Noto Sans"/>
          <w:szCs w:val="18"/>
        </w:rPr>
        <w:t xml:space="preserve">l </w:t>
      </w:r>
      <w:r w:rsidR="003218F1" w:rsidRPr="002B3F78">
        <w:rPr>
          <w:rFonts w:cs="Noto Sans"/>
          <w:szCs w:val="18"/>
        </w:rPr>
        <w:t>3</w:t>
      </w:r>
      <w:r w:rsidR="003218F1">
        <w:rPr>
          <w:rFonts w:cs="Noto Sans"/>
          <w:szCs w:val="18"/>
        </w:rPr>
        <w:t>0</w:t>
      </w:r>
      <w:r w:rsidR="003218F1" w:rsidRPr="002B3F78">
        <w:rPr>
          <w:rFonts w:cs="Noto Sans"/>
          <w:szCs w:val="18"/>
        </w:rPr>
        <w:t xml:space="preserve"> de </w:t>
      </w:r>
      <w:r w:rsidR="003218F1">
        <w:rPr>
          <w:rFonts w:cs="Noto Sans"/>
          <w:szCs w:val="18"/>
        </w:rPr>
        <w:t>junio</w:t>
      </w:r>
      <w:r w:rsidR="003218F1" w:rsidRPr="002B3F78">
        <w:rPr>
          <w:rFonts w:cs="Noto Sans"/>
          <w:szCs w:val="18"/>
        </w:rPr>
        <w:t xml:space="preserve"> </w:t>
      </w:r>
      <w:r w:rsidRPr="000F4D76">
        <w:rPr>
          <w:rFonts w:cs="Noto Sans"/>
          <w:szCs w:val="18"/>
        </w:rPr>
        <w:t>de 2025 y 31 de diciembre de 2024</w:t>
      </w:r>
      <w:r w:rsidR="003C4851" w:rsidRPr="00FE23B3">
        <w:t>, las Cuentas por Pagar a Corto Plazo se integran de la siguiente manera:</w:t>
      </w:r>
    </w:p>
    <w:p w14:paraId="2503F74D" w14:textId="77777777" w:rsidR="003C4851" w:rsidRDefault="003C4851" w:rsidP="003C4851">
      <w:pPr>
        <w:pStyle w:val="TEXTONORMAL"/>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851" w:rsidRPr="005946C5" w14:paraId="4ED3A913"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2432F933"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28EE428"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3C4851" w:rsidRPr="005946C5" w14:paraId="25393D06"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90A0FE0"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20FD347" w14:textId="77F398AC" w:rsidR="003C4851" w:rsidRPr="008E629A" w:rsidRDefault="003C4851"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FD2CDA">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34290889" w14:textId="25F924D3" w:rsidR="003C4851" w:rsidRPr="008E629A" w:rsidRDefault="003C4851" w:rsidP="00FD2CDA">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FD2CDA">
              <w:rPr>
                <w:rFonts w:ascii="Noto Sans" w:eastAsia="Times New Roman" w:hAnsi="Noto Sans" w:cs="Noto Sans"/>
                <w:b/>
                <w:bCs/>
                <w:color w:val="FFFFFF"/>
                <w:sz w:val="16"/>
                <w:szCs w:val="16"/>
                <w:lang w:eastAsia="es-MX"/>
              </w:rPr>
              <w:t>4</w:t>
            </w:r>
          </w:p>
        </w:tc>
      </w:tr>
      <w:tr w:rsidR="0073155C" w:rsidRPr="005946C5" w14:paraId="4D2E0364" w14:textId="77777777" w:rsidTr="00665FA4">
        <w:trPr>
          <w:trHeight w:val="283"/>
          <w:jc w:val="center"/>
        </w:trPr>
        <w:tc>
          <w:tcPr>
            <w:tcW w:w="5475" w:type="dxa"/>
            <w:tcBorders>
              <w:top w:val="triple" w:sz="12" w:space="0" w:color="A6802D"/>
              <w:left w:val="nil"/>
              <w:bottom w:val="nil"/>
              <w:right w:val="nil"/>
            </w:tcBorders>
            <w:shd w:val="clear" w:color="000000" w:fill="F2F2F2"/>
            <w:vAlign w:val="center"/>
          </w:tcPr>
          <w:p w14:paraId="1FE6E413" w14:textId="07A37341" w:rsidR="0073155C" w:rsidRPr="00665FA4" w:rsidRDefault="0073155C" w:rsidP="0073155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Proveedores </w:t>
            </w:r>
            <w:r>
              <w:rPr>
                <w:rFonts w:ascii="Noto Sans" w:hAnsi="Noto Sans" w:cs="Noto Sans"/>
                <w:b/>
                <w:bCs/>
                <w:color w:val="000000"/>
                <w:sz w:val="15"/>
                <w:szCs w:val="15"/>
              </w:rPr>
              <w:t>(4.1.a)</w:t>
            </w:r>
          </w:p>
        </w:tc>
        <w:tc>
          <w:tcPr>
            <w:tcW w:w="1960" w:type="dxa"/>
            <w:tcBorders>
              <w:top w:val="triple" w:sz="12" w:space="0" w:color="A6802D"/>
              <w:left w:val="nil"/>
              <w:bottom w:val="nil"/>
              <w:right w:val="nil"/>
            </w:tcBorders>
            <w:shd w:val="clear" w:color="000000" w:fill="F2F2F2"/>
            <w:vAlign w:val="center"/>
          </w:tcPr>
          <w:p w14:paraId="77C87F05" w14:textId="44D5CB4E"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24,862,774,481.0</w:t>
            </w:r>
          </w:p>
        </w:tc>
        <w:tc>
          <w:tcPr>
            <w:tcW w:w="1961" w:type="dxa"/>
            <w:tcBorders>
              <w:top w:val="triple" w:sz="12" w:space="0" w:color="A6802D"/>
              <w:left w:val="nil"/>
              <w:bottom w:val="nil"/>
              <w:right w:val="nil"/>
            </w:tcBorders>
            <w:shd w:val="clear" w:color="000000" w:fill="F2F2F2"/>
            <w:vAlign w:val="center"/>
          </w:tcPr>
          <w:p w14:paraId="61BDE604" w14:textId="7E594A76"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19,842,186,086.7</w:t>
            </w:r>
          </w:p>
        </w:tc>
      </w:tr>
      <w:tr w:rsidR="0073155C" w:rsidRPr="00FC0913" w14:paraId="35E2F822" w14:textId="77777777" w:rsidTr="00665FA4">
        <w:trPr>
          <w:trHeight w:val="283"/>
          <w:jc w:val="center"/>
        </w:trPr>
        <w:tc>
          <w:tcPr>
            <w:tcW w:w="5475" w:type="dxa"/>
            <w:tcBorders>
              <w:top w:val="nil"/>
              <w:left w:val="nil"/>
              <w:bottom w:val="nil"/>
              <w:right w:val="nil"/>
            </w:tcBorders>
            <w:shd w:val="clear" w:color="000000" w:fill="F2F2F2"/>
            <w:vAlign w:val="center"/>
          </w:tcPr>
          <w:p w14:paraId="7944E84B" w14:textId="44141284" w:rsidR="0073155C" w:rsidRPr="00665FA4" w:rsidRDefault="0073155C" w:rsidP="0073155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Retenciones y Contribuciones </w:t>
            </w:r>
            <w:r>
              <w:rPr>
                <w:rFonts w:ascii="Noto Sans" w:hAnsi="Noto Sans" w:cs="Noto Sans"/>
                <w:b/>
                <w:bCs/>
                <w:color w:val="000000"/>
                <w:sz w:val="15"/>
                <w:szCs w:val="15"/>
              </w:rPr>
              <w:t>(4.1.b)</w:t>
            </w:r>
          </w:p>
        </w:tc>
        <w:tc>
          <w:tcPr>
            <w:tcW w:w="1960" w:type="dxa"/>
            <w:tcBorders>
              <w:top w:val="nil"/>
              <w:left w:val="nil"/>
              <w:bottom w:val="nil"/>
              <w:right w:val="nil"/>
            </w:tcBorders>
            <w:shd w:val="clear" w:color="000000" w:fill="F2F2F2"/>
            <w:vAlign w:val="center"/>
          </w:tcPr>
          <w:p w14:paraId="639084B3" w14:textId="6DBF65D4"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13,412,826,966.0</w:t>
            </w:r>
          </w:p>
        </w:tc>
        <w:tc>
          <w:tcPr>
            <w:tcW w:w="1961" w:type="dxa"/>
            <w:tcBorders>
              <w:top w:val="nil"/>
              <w:left w:val="nil"/>
              <w:bottom w:val="nil"/>
              <w:right w:val="nil"/>
            </w:tcBorders>
            <w:shd w:val="clear" w:color="000000" w:fill="F2F2F2"/>
            <w:vAlign w:val="center"/>
          </w:tcPr>
          <w:p w14:paraId="3A3F9FD1" w14:textId="21140697"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924,327,208.7</w:t>
            </w:r>
          </w:p>
        </w:tc>
      </w:tr>
      <w:tr w:rsidR="0073155C" w:rsidRPr="00FC0913" w14:paraId="43B341EA" w14:textId="77777777" w:rsidTr="00665FA4">
        <w:trPr>
          <w:trHeight w:val="283"/>
          <w:jc w:val="center"/>
        </w:trPr>
        <w:tc>
          <w:tcPr>
            <w:tcW w:w="5475" w:type="dxa"/>
            <w:tcBorders>
              <w:top w:val="nil"/>
              <w:left w:val="nil"/>
              <w:bottom w:val="nil"/>
              <w:right w:val="nil"/>
            </w:tcBorders>
            <w:shd w:val="clear" w:color="000000" w:fill="F2F2F2"/>
            <w:vAlign w:val="center"/>
          </w:tcPr>
          <w:p w14:paraId="5F55F6B5" w14:textId="7EE9D415" w:rsidR="0073155C" w:rsidRPr="00665FA4" w:rsidRDefault="0073155C" w:rsidP="0073155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Servicios Personales </w:t>
            </w:r>
            <w:r>
              <w:rPr>
                <w:rFonts w:ascii="Noto Sans" w:hAnsi="Noto Sans" w:cs="Noto Sans"/>
                <w:b/>
                <w:bCs/>
                <w:color w:val="000000"/>
                <w:sz w:val="15"/>
                <w:szCs w:val="15"/>
              </w:rPr>
              <w:t>(4.1.c)</w:t>
            </w:r>
          </w:p>
        </w:tc>
        <w:tc>
          <w:tcPr>
            <w:tcW w:w="1960" w:type="dxa"/>
            <w:tcBorders>
              <w:top w:val="nil"/>
              <w:left w:val="nil"/>
              <w:bottom w:val="nil"/>
              <w:right w:val="nil"/>
            </w:tcBorders>
            <w:shd w:val="clear" w:color="000000" w:fill="F2F2F2"/>
            <w:vAlign w:val="center"/>
          </w:tcPr>
          <w:p w14:paraId="7FE66D18" w14:textId="73291731"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1,334,550,034.6</w:t>
            </w:r>
          </w:p>
        </w:tc>
        <w:tc>
          <w:tcPr>
            <w:tcW w:w="1961" w:type="dxa"/>
            <w:tcBorders>
              <w:top w:val="nil"/>
              <w:left w:val="nil"/>
              <w:bottom w:val="nil"/>
              <w:right w:val="nil"/>
            </w:tcBorders>
            <w:shd w:val="clear" w:color="000000" w:fill="F2F2F2"/>
            <w:vAlign w:val="center"/>
          </w:tcPr>
          <w:p w14:paraId="45F42EC6" w14:textId="66E65166"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1,396,911,428.0</w:t>
            </w:r>
          </w:p>
        </w:tc>
      </w:tr>
      <w:tr w:rsidR="0073155C" w:rsidRPr="00FC0913" w14:paraId="755959C9" w14:textId="77777777" w:rsidTr="00665FA4">
        <w:trPr>
          <w:trHeight w:val="283"/>
          <w:jc w:val="center"/>
        </w:trPr>
        <w:tc>
          <w:tcPr>
            <w:tcW w:w="5475" w:type="dxa"/>
            <w:tcBorders>
              <w:top w:val="nil"/>
              <w:left w:val="nil"/>
              <w:bottom w:val="nil"/>
              <w:right w:val="nil"/>
            </w:tcBorders>
            <w:shd w:val="clear" w:color="000000" w:fill="F2F2F2"/>
            <w:vAlign w:val="center"/>
          </w:tcPr>
          <w:p w14:paraId="4EF47BA2" w14:textId="69BC2052" w:rsidR="0073155C" w:rsidRPr="00665FA4" w:rsidRDefault="0073155C" w:rsidP="0073155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Otras Cuentas por Pagar</w:t>
            </w:r>
          </w:p>
        </w:tc>
        <w:tc>
          <w:tcPr>
            <w:tcW w:w="1960" w:type="dxa"/>
            <w:tcBorders>
              <w:top w:val="nil"/>
              <w:left w:val="nil"/>
              <w:bottom w:val="nil"/>
              <w:right w:val="nil"/>
            </w:tcBorders>
            <w:shd w:val="clear" w:color="000000" w:fill="F2F2F2"/>
            <w:vAlign w:val="center"/>
          </w:tcPr>
          <w:p w14:paraId="1437D696" w14:textId="5F4C2FDE"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389,293,870.4</w:t>
            </w:r>
          </w:p>
        </w:tc>
        <w:tc>
          <w:tcPr>
            <w:tcW w:w="1961" w:type="dxa"/>
            <w:tcBorders>
              <w:top w:val="nil"/>
              <w:left w:val="nil"/>
              <w:bottom w:val="nil"/>
              <w:right w:val="nil"/>
            </w:tcBorders>
            <w:shd w:val="clear" w:color="000000" w:fill="F2F2F2"/>
            <w:vAlign w:val="center"/>
          </w:tcPr>
          <w:p w14:paraId="3D2FFF13" w14:textId="55624B17"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21,934.3</w:t>
            </w:r>
          </w:p>
        </w:tc>
      </w:tr>
      <w:tr w:rsidR="0073155C" w:rsidRPr="00FC0913" w14:paraId="2C730E9D" w14:textId="77777777" w:rsidTr="00665FA4">
        <w:trPr>
          <w:trHeight w:val="283"/>
          <w:jc w:val="center"/>
        </w:trPr>
        <w:tc>
          <w:tcPr>
            <w:tcW w:w="5475" w:type="dxa"/>
            <w:tcBorders>
              <w:top w:val="nil"/>
              <w:left w:val="nil"/>
              <w:bottom w:val="nil"/>
              <w:right w:val="nil"/>
            </w:tcBorders>
            <w:shd w:val="clear" w:color="000000" w:fill="F2F2F2"/>
            <w:vAlign w:val="center"/>
          </w:tcPr>
          <w:p w14:paraId="7FD664B5" w14:textId="6DED56A6" w:rsidR="0073155C" w:rsidRPr="00665FA4" w:rsidRDefault="0073155C" w:rsidP="0073155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Transferencias Otorgadas </w:t>
            </w:r>
            <w:r>
              <w:rPr>
                <w:rFonts w:ascii="Noto Sans" w:hAnsi="Noto Sans" w:cs="Noto Sans"/>
                <w:b/>
                <w:bCs/>
                <w:color w:val="000000"/>
                <w:sz w:val="15"/>
                <w:szCs w:val="15"/>
              </w:rPr>
              <w:t>(4.1.d)</w:t>
            </w:r>
          </w:p>
        </w:tc>
        <w:tc>
          <w:tcPr>
            <w:tcW w:w="1960" w:type="dxa"/>
            <w:tcBorders>
              <w:top w:val="nil"/>
              <w:left w:val="nil"/>
              <w:bottom w:val="nil"/>
              <w:right w:val="nil"/>
            </w:tcBorders>
            <w:shd w:val="clear" w:color="000000" w:fill="F2F2F2"/>
            <w:vAlign w:val="center"/>
          </w:tcPr>
          <w:p w14:paraId="5EE27B26" w14:textId="770BEC3E"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324,715,437.1</w:t>
            </w:r>
          </w:p>
        </w:tc>
        <w:tc>
          <w:tcPr>
            <w:tcW w:w="1961" w:type="dxa"/>
            <w:tcBorders>
              <w:top w:val="nil"/>
              <w:left w:val="nil"/>
              <w:bottom w:val="nil"/>
              <w:right w:val="nil"/>
            </w:tcBorders>
            <w:shd w:val="clear" w:color="000000" w:fill="F2F2F2"/>
            <w:vAlign w:val="center"/>
          </w:tcPr>
          <w:p w14:paraId="319B4356" w14:textId="6C9F69CC"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222,845,104.0</w:t>
            </w:r>
          </w:p>
        </w:tc>
      </w:tr>
      <w:tr w:rsidR="0073155C" w:rsidRPr="00FC0913" w14:paraId="589EBCE8" w14:textId="77777777" w:rsidTr="00665FA4">
        <w:trPr>
          <w:trHeight w:val="283"/>
          <w:jc w:val="center"/>
        </w:trPr>
        <w:tc>
          <w:tcPr>
            <w:tcW w:w="5475" w:type="dxa"/>
            <w:tcBorders>
              <w:top w:val="nil"/>
              <w:left w:val="nil"/>
              <w:bottom w:val="nil"/>
              <w:right w:val="nil"/>
            </w:tcBorders>
            <w:shd w:val="clear" w:color="000000" w:fill="F2F2F2"/>
            <w:vAlign w:val="center"/>
          </w:tcPr>
          <w:p w14:paraId="550464BE" w14:textId="3E565721" w:rsidR="0073155C" w:rsidRPr="00665FA4" w:rsidRDefault="0073155C" w:rsidP="0073155C">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Contratistas por Obras Públicas</w:t>
            </w:r>
          </w:p>
        </w:tc>
        <w:tc>
          <w:tcPr>
            <w:tcW w:w="1960" w:type="dxa"/>
            <w:tcBorders>
              <w:top w:val="nil"/>
              <w:left w:val="nil"/>
              <w:bottom w:val="nil"/>
              <w:right w:val="nil"/>
            </w:tcBorders>
            <w:shd w:val="clear" w:color="000000" w:fill="F2F2F2"/>
            <w:vAlign w:val="center"/>
          </w:tcPr>
          <w:p w14:paraId="2499A058" w14:textId="17ED60BE"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23,990,629.9</w:t>
            </w:r>
          </w:p>
        </w:tc>
        <w:tc>
          <w:tcPr>
            <w:tcW w:w="1961" w:type="dxa"/>
            <w:tcBorders>
              <w:top w:val="nil"/>
              <w:left w:val="nil"/>
              <w:bottom w:val="nil"/>
              <w:right w:val="nil"/>
            </w:tcBorders>
            <w:shd w:val="clear" w:color="000000" w:fill="F2F2F2"/>
            <w:vAlign w:val="center"/>
          </w:tcPr>
          <w:p w14:paraId="34A92936" w14:textId="3030ADE8" w:rsidR="0073155C" w:rsidRPr="00665FA4" w:rsidRDefault="0073155C" w:rsidP="0073155C">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4,741,251.0</w:t>
            </w:r>
          </w:p>
        </w:tc>
      </w:tr>
      <w:tr w:rsidR="0073155C" w:rsidRPr="005946C5" w14:paraId="0F2B9665" w14:textId="77777777" w:rsidTr="00665FA4">
        <w:trPr>
          <w:trHeight w:val="283"/>
          <w:jc w:val="center"/>
        </w:trPr>
        <w:tc>
          <w:tcPr>
            <w:tcW w:w="5475" w:type="dxa"/>
            <w:tcBorders>
              <w:top w:val="nil"/>
              <w:left w:val="nil"/>
              <w:bottom w:val="single" w:sz="12" w:space="0" w:color="A6802D"/>
              <w:right w:val="nil"/>
            </w:tcBorders>
            <w:shd w:val="clear" w:color="000000" w:fill="F2F2F2"/>
            <w:vAlign w:val="center"/>
          </w:tcPr>
          <w:p w14:paraId="5CC1E446" w14:textId="11210D2F" w:rsidR="0073155C" w:rsidRPr="00665FA4" w:rsidRDefault="0073155C" w:rsidP="0073155C">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Cuentas por Pagar </w:t>
            </w:r>
            <w:r w:rsidRPr="00C506CB">
              <w:rPr>
                <w:rFonts w:ascii="Noto Sans" w:hAnsi="Noto Sans" w:cs="Noto Sans"/>
                <w:b/>
                <w:bCs/>
                <w:color w:val="000000"/>
                <w:sz w:val="15"/>
                <w:szCs w:val="15"/>
              </w:rPr>
              <w:t>a Corto Plazo</w:t>
            </w:r>
          </w:p>
        </w:tc>
        <w:tc>
          <w:tcPr>
            <w:tcW w:w="1960" w:type="dxa"/>
            <w:tcBorders>
              <w:top w:val="nil"/>
              <w:left w:val="nil"/>
              <w:bottom w:val="single" w:sz="12" w:space="0" w:color="A6802D"/>
              <w:right w:val="nil"/>
            </w:tcBorders>
            <w:shd w:val="clear" w:color="000000" w:fill="F2F2F2"/>
            <w:vAlign w:val="center"/>
          </w:tcPr>
          <w:p w14:paraId="155F4306" w14:textId="3DC688B8" w:rsidR="0073155C" w:rsidRPr="00665FA4" w:rsidRDefault="0073155C" w:rsidP="0073155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40,348,151,419.0</w:t>
            </w:r>
          </w:p>
        </w:tc>
        <w:tc>
          <w:tcPr>
            <w:tcW w:w="1961" w:type="dxa"/>
            <w:tcBorders>
              <w:top w:val="nil"/>
              <w:left w:val="nil"/>
              <w:bottom w:val="single" w:sz="12" w:space="0" w:color="A6802D"/>
              <w:right w:val="nil"/>
            </w:tcBorders>
            <w:shd w:val="clear" w:color="000000" w:fill="F2F2F2"/>
            <w:vAlign w:val="center"/>
          </w:tcPr>
          <w:p w14:paraId="029AFEBF" w14:textId="7C23038C" w:rsidR="0073155C" w:rsidRPr="00665FA4" w:rsidRDefault="0073155C" w:rsidP="0073155C">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22,391,033,012.7</w:t>
            </w:r>
          </w:p>
        </w:tc>
      </w:tr>
      <w:tr w:rsidR="003C4851" w:rsidRPr="00274555" w14:paraId="33423F62" w14:textId="77777777" w:rsidTr="003711A6">
        <w:trPr>
          <w:trHeight w:val="226"/>
          <w:jc w:val="center"/>
        </w:trPr>
        <w:tc>
          <w:tcPr>
            <w:tcW w:w="5475" w:type="dxa"/>
            <w:tcBorders>
              <w:top w:val="single" w:sz="12" w:space="0" w:color="A6802D"/>
              <w:left w:val="nil"/>
              <w:right w:val="nil"/>
            </w:tcBorders>
            <w:vAlign w:val="center"/>
          </w:tcPr>
          <w:p w14:paraId="16354C3B" w14:textId="77777777" w:rsidR="003C4851" w:rsidRPr="00274555" w:rsidRDefault="003C4851"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15BA2C02"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22370186"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r>
    </w:tbl>
    <w:p w14:paraId="0F8653F1" w14:textId="77777777" w:rsidR="003C4851" w:rsidRDefault="003C4851" w:rsidP="003C4851">
      <w:pPr>
        <w:pStyle w:val="TEXTONORMAL"/>
      </w:pPr>
    </w:p>
    <w:p w14:paraId="05CCDC5A" w14:textId="7A6D3128" w:rsidR="003C4851" w:rsidRDefault="00665FA4" w:rsidP="006E7E24">
      <w:pPr>
        <w:pStyle w:val="TEXTONORMAL"/>
        <w:numPr>
          <w:ilvl w:val="0"/>
          <w:numId w:val="15"/>
        </w:numPr>
        <w:ind w:left="714" w:hanging="357"/>
      </w:pPr>
      <w:r>
        <w:rPr>
          <w:rFonts w:cs="Noto Sans"/>
          <w:szCs w:val="18"/>
        </w:rPr>
        <w:t>4</w:t>
      </w:r>
      <w:r w:rsidR="003C4851">
        <w:rPr>
          <w:rFonts w:cs="Noto Sans"/>
          <w:szCs w:val="18"/>
        </w:rPr>
        <w:t xml:space="preserve">.1.a) </w:t>
      </w:r>
      <w:r w:rsidR="004C72F3">
        <w:rPr>
          <w:rFonts w:cs="Noto Sans"/>
          <w:szCs w:val="18"/>
        </w:rPr>
        <w:t>A</w:t>
      </w:r>
      <w:r w:rsidR="004C72F3" w:rsidRPr="000F4D76">
        <w:rPr>
          <w:rFonts w:cs="Noto Sans"/>
          <w:szCs w:val="18"/>
        </w:rPr>
        <w:t xml:space="preserve">l </w:t>
      </w:r>
      <w:r w:rsidR="00554EAC" w:rsidRPr="002B3F78">
        <w:rPr>
          <w:rFonts w:cs="Noto Sans"/>
          <w:szCs w:val="18"/>
        </w:rPr>
        <w:t>3</w:t>
      </w:r>
      <w:r w:rsidR="00554EAC">
        <w:rPr>
          <w:rFonts w:cs="Noto Sans"/>
          <w:szCs w:val="18"/>
        </w:rPr>
        <w:t>0</w:t>
      </w:r>
      <w:r w:rsidR="00554EAC" w:rsidRPr="002B3F78">
        <w:rPr>
          <w:rFonts w:cs="Noto Sans"/>
          <w:szCs w:val="18"/>
        </w:rPr>
        <w:t xml:space="preserve"> de </w:t>
      </w:r>
      <w:r w:rsidR="00554EAC">
        <w:rPr>
          <w:rFonts w:cs="Noto Sans"/>
          <w:szCs w:val="18"/>
        </w:rPr>
        <w:t>junio</w:t>
      </w:r>
      <w:r w:rsidR="00554EAC" w:rsidRPr="002B3F78">
        <w:rPr>
          <w:rFonts w:cs="Noto Sans"/>
          <w:szCs w:val="18"/>
        </w:rPr>
        <w:t xml:space="preserve"> </w:t>
      </w:r>
      <w:r w:rsidR="004C72F3" w:rsidRPr="000F4D76">
        <w:rPr>
          <w:rFonts w:cs="Noto Sans"/>
          <w:szCs w:val="18"/>
        </w:rPr>
        <w:t>de 2025 y 31 de diciembre de 2024</w:t>
      </w:r>
      <w:r w:rsidR="003C4851" w:rsidRPr="00FE23B3">
        <w:t>, el rubro de Proveedores se integra de la siguiente manera:</w:t>
      </w:r>
    </w:p>
    <w:p w14:paraId="0EFDE196" w14:textId="77777777" w:rsidR="006E7E24" w:rsidRDefault="006E7E24" w:rsidP="006E7E24">
      <w:pPr>
        <w:pStyle w:val="TEXTONORMAL"/>
        <w:ind w:left="714"/>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851" w:rsidRPr="005946C5" w14:paraId="5F9FDF36"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F2E2F81"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9E1344A"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914440" w:rsidRPr="005946C5" w14:paraId="6BFD3064"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1342FCC7" w14:textId="77777777" w:rsidR="00914440" w:rsidRPr="008E629A" w:rsidRDefault="00914440"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BE80FD3" w14:textId="2BECCD13" w:rsidR="00914440" w:rsidRPr="008E629A" w:rsidRDefault="00914440"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60B3C799" w14:textId="07190F00" w:rsidR="00914440" w:rsidRPr="008E629A" w:rsidRDefault="00914440"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50209B" w:rsidRPr="005946C5" w14:paraId="77BA041E" w14:textId="77777777" w:rsidTr="00665FA4">
        <w:trPr>
          <w:trHeight w:val="283"/>
          <w:jc w:val="center"/>
        </w:trPr>
        <w:tc>
          <w:tcPr>
            <w:tcW w:w="5475" w:type="dxa"/>
            <w:tcBorders>
              <w:top w:val="triple" w:sz="12" w:space="0" w:color="A6802D"/>
              <w:left w:val="nil"/>
              <w:bottom w:val="nil"/>
              <w:right w:val="nil"/>
            </w:tcBorders>
            <w:shd w:val="clear" w:color="000000" w:fill="F2F2F2"/>
            <w:vAlign w:val="center"/>
          </w:tcPr>
          <w:p w14:paraId="6B36572C" w14:textId="35266B6B" w:rsidR="0050209B" w:rsidRPr="003C4851" w:rsidRDefault="0050209B" w:rsidP="0050209B">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Materiales y Suministros</w:t>
            </w:r>
          </w:p>
        </w:tc>
        <w:tc>
          <w:tcPr>
            <w:tcW w:w="1960" w:type="dxa"/>
            <w:tcBorders>
              <w:top w:val="triple" w:sz="12" w:space="0" w:color="A6802D"/>
              <w:left w:val="nil"/>
              <w:bottom w:val="nil"/>
              <w:right w:val="nil"/>
            </w:tcBorders>
            <w:shd w:val="clear" w:color="000000" w:fill="F2F2F2"/>
            <w:vAlign w:val="center"/>
          </w:tcPr>
          <w:p w14:paraId="1EBB3417" w14:textId="06E16C42"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19,674,743,592.0</w:t>
            </w:r>
          </w:p>
        </w:tc>
        <w:tc>
          <w:tcPr>
            <w:tcW w:w="1961" w:type="dxa"/>
            <w:tcBorders>
              <w:top w:val="triple" w:sz="12" w:space="0" w:color="A6802D"/>
              <w:left w:val="nil"/>
              <w:bottom w:val="nil"/>
              <w:right w:val="nil"/>
            </w:tcBorders>
            <w:shd w:val="clear" w:color="000000" w:fill="F2F2F2"/>
            <w:vAlign w:val="center"/>
          </w:tcPr>
          <w:p w14:paraId="0ECA08A3" w14:textId="573851E5"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16,096,371,400.9</w:t>
            </w:r>
          </w:p>
        </w:tc>
      </w:tr>
      <w:tr w:rsidR="0050209B" w:rsidRPr="00FC0913" w14:paraId="1947B696" w14:textId="77777777" w:rsidTr="00665FA4">
        <w:trPr>
          <w:trHeight w:val="283"/>
          <w:jc w:val="center"/>
        </w:trPr>
        <w:tc>
          <w:tcPr>
            <w:tcW w:w="5475" w:type="dxa"/>
            <w:tcBorders>
              <w:top w:val="nil"/>
              <w:left w:val="nil"/>
              <w:bottom w:val="nil"/>
              <w:right w:val="nil"/>
            </w:tcBorders>
            <w:shd w:val="clear" w:color="000000" w:fill="F2F2F2"/>
            <w:vAlign w:val="center"/>
          </w:tcPr>
          <w:p w14:paraId="363CE7DD" w14:textId="7E0C693B" w:rsidR="0050209B" w:rsidRPr="003C4851" w:rsidRDefault="0050209B" w:rsidP="0050209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Servicios Generales</w:t>
            </w:r>
          </w:p>
        </w:tc>
        <w:tc>
          <w:tcPr>
            <w:tcW w:w="1960" w:type="dxa"/>
            <w:tcBorders>
              <w:top w:val="nil"/>
              <w:left w:val="nil"/>
              <w:bottom w:val="nil"/>
              <w:right w:val="nil"/>
            </w:tcBorders>
            <w:shd w:val="clear" w:color="000000" w:fill="F2F2F2"/>
            <w:vAlign w:val="center"/>
          </w:tcPr>
          <w:p w14:paraId="5997D197" w14:textId="3320CA34"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3,664,172,312.0</w:t>
            </w:r>
          </w:p>
        </w:tc>
        <w:tc>
          <w:tcPr>
            <w:tcW w:w="1961" w:type="dxa"/>
            <w:tcBorders>
              <w:top w:val="nil"/>
              <w:left w:val="nil"/>
              <w:bottom w:val="nil"/>
              <w:right w:val="nil"/>
            </w:tcBorders>
            <w:shd w:val="clear" w:color="000000" w:fill="F2F2F2"/>
            <w:vAlign w:val="center"/>
          </w:tcPr>
          <w:p w14:paraId="3050728F" w14:textId="61396276"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2,243,764,250.2</w:t>
            </w:r>
          </w:p>
        </w:tc>
      </w:tr>
      <w:tr w:rsidR="0050209B" w:rsidRPr="00FC0913" w14:paraId="52DD7219" w14:textId="77777777" w:rsidTr="00665FA4">
        <w:trPr>
          <w:trHeight w:val="283"/>
          <w:jc w:val="center"/>
        </w:trPr>
        <w:tc>
          <w:tcPr>
            <w:tcW w:w="5475" w:type="dxa"/>
            <w:tcBorders>
              <w:top w:val="nil"/>
              <w:left w:val="nil"/>
              <w:bottom w:val="nil"/>
              <w:right w:val="nil"/>
            </w:tcBorders>
            <w:shd w:val="clear" w:color="000000" w:fill="F2F2F2"/>
            <w:vAlign w:val="center"/>
          </w:tcPr>
          <w:p w14:paraId="6F345BC6" w14:textId="4FF0FEC0" w:rsidR="0050209B" w:rsidRPr="003C4851" w:rsidRDefault="0050209B" w:rsidP="0050209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Bienes Muebles</w:t>
            </w:r>
          </w:p>
        </w:tc>
        <w:tc>
          <w:tcPr>
            <w:tcW w:w="1960" w:type="dxa"/>
            <w:tcBorders>
              <w:top w:val="nil"/>
              <w:left w:val="nil"/>
              <w:bottom w:val="nil"/>
              <w:right w:val="nil"/>
            </w:tcBorders>
            <w:shd w:val="clear" w:color="000000" w:fill="F2F2F2"/>
            <w:vAlign w:val="center"/>
          </w:tcPr>
          <w:p w14:paraId="46B1BF7A" w14:textId="1090B4BD"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1,359,927,837.1</w:t>
            </w:r>
          </w:p>
        </w:tc>
        <w:tc>
          <w:tcPr>
            <w:tcW w:w="1961" w:type="dxa"/>
            <w:tcBorders>
              <w:top w:val="nil"/>
              <w:left w:val="nil"/>
              <w:bottom w:val="nil"/>
              <w:right w:val="nil"/>
            </w:tcBorders>
            <w:shd w:val="clear" w:color="000000" w:fill="F2F2F2"/>
            <w:vAlign w:val="center"/>
          </w:tcPr>
          <w:p w14:paraId="2C0B9199" w14:textId="420CE9C7"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1,417,902,035.4</w:t>
            </w:r>
          </w:p>
        </w:tc>
      </w:tr>
      <w:tr w:rsidR="0050209B" w:rsidRPr="00FC0913" w14:paraId="76FDBA6E" w14:textId="77777777" w:rsidTr="00665FA4">
        <w:trPr>
          <w:trHeight w:val="283"/>
          <w:jc w:val="center"/>
        </w:trPr>
        <w:tc>
          <w:tcPr>
            <w:tcW w:w="5475" w:type="dxa"/>
            <w:tcBorders>
              <w:top w:val="nil"/>
              <w:left w:val="nil"/>
              <w:bottom w:val="nil"/>
              <w:right w:val="nil"/>
            </w:tcBorders>
            <w:shd w:val="clear" w:color="000000" w:fill="F2F2F2"/>
            <w:vAlign w:val="center"/>
          </w:tcPr>
          <w:p w14:paraId="146F08EB" w14:textId="0C5BDED8" w:rsidR="0050209B" w:rsidRPr="003C4851" w:rsidRDefault="0050209B" w:rsidP="0050209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Tiendas</w:t>
            </w:r>
          </w:p>
        </w:tc>
        <w:tc>
          <w:tcPr>
            <w:tcW w:w="1960" w:type="dxa"/>
            <w:tcBorders>
              <w:top w:val="nil"/>
              <w:left w:val="nil"/>
              <w:bottom w:val="nil"/>
              <w:right w:val="nil"/>
            </w:tcBorders>
            <w:shd w:val="clear" w:color="000000" w:fill="F2F2F2"/>
            <w:vAlign w:val="center"/>
          </w:tcPr>
          <w:p w14:paraId="02B5DF10" w14:textId="3591CD88"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159,724,613.0</w:t>
            </w:r>
          </w:p>
        </w:tc>
        <w:tc>
          <w:tcPr>
            <w:tcW w:w="1961" w:type="dxa"/>
            <w:tcBorders>
              <w:top w:val="nil"/>
              <w:left w:val="nil"/>
              <w:bottom w:val="nil"/>
              <w:right w:val="nil"/>
            </w:tcBorders>
            <w:shd w:val="clear" w:color="000000" w:fill="F2F2F2"/>
            <w:vAlign w:val="center"/>
          </w:tcPr>
          <w:p w14:paraId="163B2B6D" w14:textId="15398B76"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82,545,718.6</w:t>
            </w:r>
          </w:p>
        </w:tc>
      </w:tr>
      <w:tr w:rsidR="0050209B" w:rsidRPr="00FC0913" w14:paraId="50EC2A84" w14:textId="77777777" w:rsidTr="00665FA4">
        <w:trPr>
          <w:trHeight w:val="283"/>
          <w:jc w:val="center"/>
        </w:trPr>
        <w:tc>
          <w:tcPr>
            <w:tcW w:w="5475" w:type="dxa"/>
            <w:tcBorders>
              <w:top w:val="nil"/>
              <w:left w:val="nil"/>
              <w:bottom w:val="nil"/>
              <w:right w:val="nil"/>
            </w:tcBorders>
            <w:shd w:val="clear" w:color="000000" w:fill="F2F2F2"/>
            <w:vAlign w:val="center"/>
          </w:tcPr>
          <w:p w14:paraId="7EE609E4" w14:textId="53A1F173" w:rsidR="0050209B" w:rsidRPr="003C4851" w:rsidRDefault="0050209B" w:rsidP="0050209B">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Otros Proveedores</w:t>
            </w:r>
          </w:p>
        </w:tc>
        <w:tc>
          <w:tcPr>
            <w:tcW w:w="1960" w:type="dxa"/>
            <w:tcBorders>
              <w:top w:val="nil"/>
              <w:left w:val="nil"/>
              <w:bottom w:val="nil"/>
              <w:right w:val="nil"/>
            </w:tcBorders>
            <w:shd w:val="clear" w:color="000000" w:fill="F2F2F2"/>
            <w:vAlign w:val="center"/>
          </w:tcPr>
          <w:p w14:paraId="5A165A73" w14:textId="0822F013"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4,206,126.9</w:t>
            </w:r>
          </w:p>
        </w:tc>
        <w:tc>
          <w:tcPr>
            <w:tcW w:w="1961" w:type="dxa"/>
            <w:tcBorders>
              <w:top w:val="nil"/>
              <w:left w:val="nil"/>
              <w:bottom w:val="nil"/>
              <w:right w:val="nil"/>
            </w:tcBorders>
            <w:shd w:val="clear" w:color="000000" w:fill="F2F2F2"/>
            <w:vAlign w:val="center"/>
          </w:tcPr>
          <w:p w14:paraId="2698D9E7" w14:textId="3B237F2E" w:rsidR="0050209B" w:rsidRPr="003C4851" w:rsidRDefault="0050209B" w:rsidP="0050209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1,602,681.6</w:t>
            </w:r>
          </w:p>
        </w:tc>
      </w:tr>
      <w:tr w:rsidR="0050209B" w:rsidRPr="005946C5" w14:paraId="18408F74" w14:textId="77777777" w:rsidTr="00665FA4">
        <w:trPr>
          <w:trHeight w:val="283"/>
          <w:jc w:val="center"/>
        </w:trPr>
        <w:tc>
          <w:tcPr>
            <w:tcW w:w="5475" w:type="dxa"/>
            <w:tcBorders>
              <w:top w:val="nil"/>
              <w:left w:val="nil"/>
              <w:bottom w:val="single" w:sz="12" w:space="0" w:color="A6802D"/>
              <w:right w:val="nil"/>
            </w:tcBorders>
            <w:shd w:val="clear" w:color="000000" w:fill="F2F2F2"/>
            <w:vAlign w:val="center"/>
          </w:tcPr>
          <w:p w14:paraId="0F27DB41" w14:textId="434EF977" w:rsidR="0050209B" w:rsidRPr="003C4851" w:rsidRDefault="0050209B" w:rsidP="0050209B">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Proveedores </w:t>
            </w:r>
          </w:p>
        </w:tc>
        <w:tc>
          <w:tcPr>
            <w:tcW w:w="1960" w:type="dxa"/>
            <w:tcBorders>
              <w:top w:val="nil"/>
              <w:left w:val="nil"/>
              <w:bottom w:val="single" w:sz="12" w:space="0" w:color="A6802D"/>
              <w:right w:val="nil"/>
            </w:tcBorders>
            <w:shd w:val="clear" w:color="000000" w:fill="F2F2F2"/>
            <w:vAlign w:val="center"/>
          </w:tcPr>
          <w:p w14:paraId="0713032A" w14:textId="7FDC67BD" w:rsidR="0050209B" w:rsidRPr="003C4851" w:rsidRDefault="0050209B" w:rsidP="0050209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24,862,774,481.0</w:t>
            </w:r>
          </w:p>
        </w:tc>
        <w:tc>
          <w:tcPr>
            <w:tcW w:w="1961" w:type="dxa"/>
            <w:tcBorders>
              <w:top w:val="nil"/>
              <w:left w:val="nil"/>
              <w:bottom w:val="single" w:sz="12" w:space="0" w:color="A6802D"/>
              <w:right w:val="nil"/>
            </w:tcBorders>
            <w:shd w:val="clear" w:color="000000" w:fill="F2F2F2"/>
            <w:vAlign w:val="center"/>
          </w:tcPr>
          <w:p w14:paraId="7F6D1EB9" w14:textId="35DFEC82" w:rsidR="0050209B" w:rsidRPr="003C4851" w:rsidRDefault="0050209B" w:rsidP="0050209B">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19,842,186,086.7</w:t>
            </w:r>
          </w:p>
        </w:tc>
      </w:tr>
      <w:tr w:rsidR="003C4851" w:rsidRPr="00274555" w14:paraId="69A4E0F8" w14:textId="77777777" w:rsidTr="003711A6">
        <w:trPr>
          <w:trHeight w:val="226"/>
          <w:jc w:val="center"/>
        </w:trPr>
        <w:tc>
          <w:tcPr>
            <w:tcW w:w="5475" w:type="dxa"/>
            <w:tcBorders>
              <w:top w:val="single" w:sz="12" w:space="0" w:color="A6802D"/>
              <w:left w:val="nil"/>
              <w:right w:val="nil"/>
            </w:tcBorders>
            <w:vAlign w:val="center"/>
          </w:tcPr>
          <w:p w14:paraId="7FCC0C82" w14:textId="77777777" w:rsidR="003C4851" w:rsidRPr="00274555" w:rsidRDefault="003C4851"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5208E058"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39937965"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r>
    </w:tbl>
    <w:p w14:paraId="75577CA8" w14:textId="77777777" w:rsidR="00665FA4" w:rsidRDefault="00665FA4" w:rsidP="00665FA4">
      <w:pPr>
        <w:pStyle w:val="Prrafodelista"/>
        <w:tabs>
          <w:tab w:val="left" w:pos="11199"/>
        </w:tabs>
        <w:spacing w:after="120" w:line="250" w:lineRule="exact"/>
        <w:rPr>
          <w:rFonts w:ascii="Noto Sans" w:hAnsi="Noto Sans" w:cs="Noto Sans"/>
          <w:sz w:val="18"/>
          <w:szCs w:val="18"/>
        </w:rPr>
      </w:pPr>
    </w:p>
    <w:p w14:paraId="527C595B" w14:textId="137E5CE4" w:rsidR="000B180F" w:rsidRDefault="000B180F" w:rsidP="000B180F">
      <w:pPr>
        <w:pStyle w:val="Prrafodelista"/>
        <w:numPr>
          <w:ilvl w:val="0"/>
          <w:numId w:val="20"/>
        </w:numPr>
        <w:tabs>
          <w:tab w:val="left" w:pos="11199"/>
        </w:tabs>
        <w:spacing w:after="120" w:line="250" w:lineRule="exact"/>
        <w:rPr>
          <w:rFonts w:ascii="Noto Sans" w:hAnsi="Noto Sans" w:cs="Noto Sans"/>
          <w:sz w:val="18"/>
          <w:szCs w:val="18"/>
        </w:rPr>
      </w:pPr>
      <w:r>
        <w:rPr>
          <w:rFonts w:ascii="Noto Sans" w:hAnsi="Noto Sans" w:cs="Noto Sans"/>
          <w:sz w:val="18"/>
          <w:szCs w:val="18"/>
        </w:rPr>
        <w:lastRenderedPageBreak/>
        <w:t>4</w:t>
      </w:r>
      <w:r w:rsidRPr="0060064A">
        <w:rPr>
          <w:rFonts w:ascii="Noto Sans" w:hAnsi="Noto Sans" w:cs="Noto Sans"/>
          <w:sz w:val="18"/>
          <w:szCs w:val="18"/>
        </w:rPr>
        <w:t>.1.</w:t>
      </w:r>
      <w:r w:rsidR="006E7E24">
        <w:rPr>
          <w:rFonts w:ascii="Noto Sans" w:hAnsi="Noto Sans" w:cs="Noto Sans"/>
          <w:sz w:val="18"/>
          <w:szCs w:val="18"/>
        </w:rPr>
        <w:t>b</w:t>
      </w:r>
      <w:r w:rsidRPr="0060064A">
        <w:rPr>
          <w:rFonts w:ascii="Noto Sans" w:hAnsi="Noto Sans" w:cs="Noto Sans"/>
          <w:sz w:val="18"/>
          <w:szCs w:val="18"/>
        </w:rPr>
        <w:t xml:space="preserve">) </w:t>
      </w:r>
      <w:r w:rsidRPr="004C72F3">
        <w:rPr>
          <w:rFonts w:ascii="Noto Sans" w:hAnsi="Noto Sans" w:cs="Noto Sans"/>
          <w:sz w:val="18"/>
          <w:szCs w:val="18"/>
        </w:rPr>
        <w:t>A</w:t>
      </w:r>
      <w:r w:rsidRPr="000F4D76">
        <w:rPr>
          <w:rFonts w:ascii="Noto Sans" w:hAnsi="Noto Sans" w:cs="Noto Sans"/>
          <w:sz w:val="18"/>
          <w:szCs w:val="18"/>
        </w:rPr>
        <w:t xml:space="preserve">l </w:t>
      </w:r>
      <w:r w:rsidR="003E0A61" w:rsidRPr="002B3F78">
        <w:rPr>
          <w:rFonts w:cs="Noto Sans"/>
          <w:szCs w:val="18"/>
        </w:rPr>
        <w:t>3</w:t>
      </w:r>
      <w:r w:rsidR="003E0A61">
        <w:rPr>
          <w:rFonts w:cs="Noto Sans"/>
          <w:szCs w:val="18"/>
        </w:rPr>
        <w:t>0</w:t>
      </w:r>
      <w:r w:rsidR="003E0A61" w:rsidRPr="002B3F78">
        <w:rPr>
          <w:rFonts w:cs="Noto Sans"/>
          <w:szCs w:val="18"/>
        </w:rPr>
        <w:t xml:space="preserve"> de </w:t>
      </w:r>
      <w:r w:rsidR="003E0A61">
        <w:rPr>
          <w:rFonts w:cs="Noto Sans"/>
          <w:szCs w:val="18"/>
        </w:rPr>
        <w:t>junio</w:t>
      </w:r>
      <w:r w:rsidR="003E0A61" w:rsidRPr="002B3F78">
        <w:rPr>
          <w:rFonts w:cs="Noto Sans"/>
          <w:szCs w:val="18"/>
        </w:rPr>
        <w:t xml:space="preserve"> </w:t>
      </w:r>
      <w:r w:rsidRPr="000F4D76">
        <w:rPr>
          <w:rFonts w:ascii="Noto Sans" w:hAnsi="Noto Sans" w:cs="Noto Sans"/>
          <w:sz w:val="18"/>
          <w:szCs w:val="18"/>
        </w:rPr>
        <w:t>de 2025 y 31 de diciembre de 2024</w:t>
      </w:r>
      <w:r w:rsidRPr="0060064A">
        <w:rPr>
          <w:rFonts w:ascii="Noto Sans" w:hAnsi="Noto Sans" w:cs="Noto Sans"/>
          <w:sz w:val="18"/>
          <w:szCs w:val="18"/>
        </w:rPr>
        <w:t>, el rubro de Retenciones y Contribuciones se integra de la siguiente manera:</w:t>
      </w:r>
    </w:p>
    <w:p w14:paraId="077CD3ED" w14:textId="77777777" w:rsidR="000B180F" w:rsidRPr="0060064A" w:rsidRDefault="000B180F" w:rsidP="000B180F">
      <w:pPr>
        <w:pStyle w:val="Prrafodelista"/>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0B180F" w:rsidRPr="005946C5" w14:paraId="21377A92" w14:textId="77777777" w:rsidTr="001431B7">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ADAD2BC"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17D35383"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B180F" w:rsidRPr="005946C5" w14:paraId="2F9A9C33" w14:textId="77777777" w:rsidTr="001431B7">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6865EC6F"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92C3D69"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213CABE1" w14:textId="77777777" w:rsidR="000B180F" w:rsidRPr="008E629A" w:rsidRDefault="000B180F" w:rsidP="001431B7">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A5612A" w:rsidRPr="005946C5" w14:paraId="6C452F28" w14:textId="77777777" w:rsidTr="001431B7">
        <w:trPr>
          <w:trHeight w:val="283"/>
          <w:jc w:val="center"/>
        </w:trPr>
        <w:tc>
          <w:tcPr>
            <w:tcW w:w="5475" w:type="dxa"/>
            <w:tcBorders>
              <w:top w:val="triple" w:sz="12" w:space="0" w:color="A6802D"/>
              <w:left w:val="nil"/>
              <w:bottom w:val="nil"/>
              <w:right w:val="nil"/>
            </w:tcBorders>
            <w:shd w:val="clear" w:color="000000" w:fill="F2F2F2"/>
            <w:vAlign w:val="center"/>
          </w:tcPr>
          <w:p w14:paraId="5967129D" w14:textId="59B3960E" w:rsidR="00A5612A" w:rsidRPr="0099699C" w:rsidRDefault="00A5612A" w:rsidP="00A5612A">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Cuotas y Aportaciones de Personal </w:t>
            </w:r>
            <w:r>
              <w:rPr>
                <w:rFonts w:ascii="Noto Sans" w:hAnsi="Noto Sans" w:cs="Noto Sans"/>
                <w:b/>
                <w:bCs/>
                <w:color w:val="000000"/>
                <w:sz w:val="15"/>
                <w:szCs w:val="15"/>
              </w:rPr>
              <w:t>(4.1.b.1)</w:t>
            </w:r>
          </w:p>
        </w:tc>
        <w:tc>
          <w:tcPr>
            <w:tcW w:w="1960" w:type="dxa"/>
            <w:tcBorders>
              <w:top w:val="triple" w:sz="12" w:space="0" w:color="A6802D"/>
              <w:left w:val="nil"/>
              <w:bottom w:val="nil"/>
              <w:right w:val="nil"/>
            </w:tcBorders>
            <w:shd w:val="clear" w:color="000000" w:fill="F2F2F2"/>
            <w:vAlign w:val="center"/>
          </w:tcPr>
          <w:p w14:paraId="6241F2D1" w14:textId="408E5D08" w:rsidR="00A5612A" w:rsidRPr="0099699C" w:rsidRDefault="00A5612A" w:rsidP="00A5612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10,110,660,186.5</w:t>
            </w:r>
          </w:p>
        </w:tc>
        <w:tc>
          <w:tcPr>
            <w:tcW w:w="1961" w:type="dxa"/>
            <w:tcBorders>
              <w:top w:val="triple" w:sz="12" w:space="0" w:color="A6802D"/>
              <w:left w:val="nil"/>
              <w:bottom w:val="nil"/>
              <w:right w:val="nil"/>
            </w:tcBorders>
            <w:shd w:val="clear" w:color="000000" w:fill="F2F2F2"/>
            <w:vAlign w:val="center"/>
          </w:tcPr>
          <w:p w14:paraId="170D1757" w14:textId="77777777" w:rsidR="00A5612A" w:rsidRPr="0099699C" w:rsidRDefault="00A5612A" w:rsidP="00A5612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135,243,609.8</w:t>
            </w:r>
          </w:p>
        </w:tc>
      </w:tr>
      <w:tr w:rsidR="00A5612A" w:rsidRPr="00FC0913" w14:paraId="2C9D5C47" w14:textId="77777777" w:rsidTr="001431B7">
        <w:trPr>
          <w:trHeight w:val="283"/>
          <w:jc w:val="center"/>
        </w:trPr>
        <w:tc>
          <w:tcPr>
            <w:tcW w:w="5475" w:type="dxa"/>
            <w:tcBorders>
              <w:top w:val="nil"/>
              <w:left w:val="nil"/>
              <w:bottom w:val="nil"/>
              <w:right w:val="nil"/>
            </w:tcBorders>
            <w:shd w:val="clear" w:color="000000" w:fill="F2F2F2"/>
            <w:vAlign w:val="center"/>
          </w:tcPr>
          <w:p w14:paraId="352F0778" w14:textId="158E02AB" w:rsidR="00A5612A" w:rsidRPr="0099699C" w:rsidRDefault="00A5612A" w:rsidP="00A5612A">
            <w:pPr>
              <w:spacing w:after="0" w:line="240" w:lineRule="auto"/>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Contribuciones </w:t>
            </w:r>
            <w:r>
              <w:rPr>
                <w:rFonts w:ascii="Noto Sans" w:hAnsi="Noto Sans" w:cs="Noto Sans"/>
                <w:b/>
                <w:bCs/>
                <w:color w:val="000000"/>
                <w:sz w:val="15"/>
                <w:szCs w:val="15"/>
              </w:rPr>
              <w:t>(4.1.b.2)</w:t>
            </w:r>
          </w:p>
        </w:tc>
        <w:tc>
          <w:tcPr>
            <w:tcW w:w="1960" w:type="dxa"/>
            <w:tcBorders>
              <w:top w:val="nil"/>
              <w:left w:val="nil"/>
              <w:bottom w:val="nil"/>
              <w:right w:val="nil"/>
            </w:tcBorders>
            <w:shd w:val="clear" w:color="000000" w:fill="F2F2F2"/>
            <w:vAlign w:val="center"/>
          </w:tcPr>
          <w:p w14:paraId="683E5CD6" w14:textId="305C8A81" w:rsidR="00A5612A" w:rsidRPr="0099699C" w:rsidRDefault="00A5612A" w:rsidP="00A5612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3,302,166,779.5</w:t>
            </w:r>
          </w:p>
        </w:tc>
        <w:tc>
          <w:tcPr>
            <w:tcW w:w="1961" w:type="dxa"/>
            <w:tcBorders>
              <w:top w:val="nil"/>
              <w:left w:val="nil"/>
              <w:bottom w:val="nil"/>
              <w:right w:val="nil"/>
            </w:tcBorders>
            <w:shd w:val="clear" w:color="000000" w:fill="F2F2F2"/>
            <w:vAlign w:val="center"/>
          </w:tcPr>
          <w:p w14:paraId="3B7C5A34" w14:textId="77777777" w:rsidR="00A5612A" w:rsidRPr="0099699C" w:rsidRDefault="00A5612A" w:rsidP="00A5612A">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789,083,598.9</w:t>
            </w:r>
          </w:p>
        </w:tc>
      </w:tr>
      <w:tr w:rsidR="00A5612A" w:rsidRPr="005946C5" w14:paraId="020B9BAD" w14:textId="77777777" w:rsidTr="001431B7">
        <w:trPr>
          <w:trHeight w:val="283"/>
          <w:jc w:val="center"/>
        </w:trPr>
        <w:tc>
          <w:tcPr>
            <w:tcW w:w="5475" w:type="dxa"/>
            <w:tcBorders>
              <w:top w:val="nil"/>
              <w:left w:val="nil"/>
              <w:bottom w:val="single" w:sz="12" w:space="0" w:color="A6802D"/>
              <w:right w:val="nil"/>
            </w:tcBorders>
            <w:shd w:val="clear" w:color="000000" w:fill="F2F2F2"/>
            <w:vAlign w:val="center"/>
          </w:tcPr>
          <w:p w14:paraId="2BE9CC09" w14:textId="77777777" w:rsidR="00A5612A" w:rsidRPr="0099699C" w:rsidRDefault="00A5612A" w:rsidP="00A5612A">
            <w:pPr>
              <w:spacing w:after="0" w:line="240" w:lineRule="auto"/>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Retenciones y Contribuciones </w:t>
            </w:r>
          </w:p>
        </w:tc>
        <w:tc>
          <w:tcPr>
            <w:tcW w:w="1960" w:type="dxa"/>
            <w:tcBorders>
              <w:top w:val="nil"/>
              <w:left w:val="nil"/>
              <w:bottom w:val="single" w:sz="12" w:space="0" w:color="A6802D"/>
              <w:right w:val="nil"/>
            </w:tcBorders>
            <w:shd w:val="clear" w:color="000000" w:fill="F2F2F2"/>
            <w:vAlign w:val="center"/>
          </w:tcPr>
          <w:p w14:paraId="4345509B" w14:textId="79236A01" w:rsidR="00A5612A" w:rsidRPr="0099699C" w:rsidRDefault="00A5612A" w:rsidP="00A5612A">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13,412,826,966.0</w:t>
            </w:r>
          </w:p>
        </w:tc>
        <w:tc>
          <w:tcPr>
            <w:tcW w:w="1961" w:type="dxa"/>
            <w:tcBorders>
              <w:top w:val="nil"/>
              <w:left w:val="nil"/>
              <w:bottom w:val="single" w:sz="12" w:space="0" w:color="A6802D"/>
              <w:right w:val="nil"/>
            </w:tcBorders>
            <w:shd w:val="clear" w:color="000000" w:fill="F2F2F2"/>
            <w:vAlign w:val="center"/>
          </w:tcPr>
          <w:p w14:paraId="55323442" w14:textId="77777777" w:rsidR="00A5612A" w:rsidRPr="0099699C" w:rsidRDefault="00A5612A" w:rsidP="00A5612A">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924,327,208.7</w:t>
            </w:r>
          </w:p>
        </w:tc>
      </w:tr>
      <w:tr w:rsidR="000B180F" w:rsidRPr="00274555" w14:paraId="187BFD5E" w14:textId="77777777" w:rsidTr="001431B7">
        <w:trPr>
          <w:trHeight w:val="226"/>
          <w:jc w:val="center"/>
        </w:trPr>
        <w:tc>
          <w:tcPr>
            <w:tcW w:w="5475" w:type="dxa"/>
            <w:tcBorders>
              <w:top w:val="single" w:sz="12" w:space="0" w:color="A6802D"/>
              <w:left w:val="nil"/>
              <w:right w:val="nil"/>
            </w:tcBorders>
            <w:vAlign w:val="center"/>
          </w:tcPr>
          <w:p w14:paraId="125FEB35" w14:textId="77777777" w:rsidR="000B180F" w:rsidRPr="00274555" w:rsidRDefault="000B180F" w:rsidP="001431B7">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4CEFBF2" w14:textId="77777777" w:rsidR="000B180F" w:rsidRPr="00274555" w:rsidRDefault="000B180F" w:rsidP="001431B7">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13A41310" w14:textId="77777777" w:rsidR="000B180F" w:rsidRPr="00274555" w:rsidRDefault="000B180F" w:rsidP="001431B7">
            <w:pPr>
              <w:spacing w:after="0" w:line="240" w:lineRule="auto"/>
              <w:jc w:val="both"/>
              <w:rPr>
                <w:rFonts w:ascii="Noto Sans" w:eastAsia="Times New Roman" w:hAnsi="Noto Sans" w:cs="Noto Sans"/>
                <w:b/>
                <w:bCs/>
                <w:color w:val="000000"/>
                <w:sz w:val="14"/>
                <w:szCs w:val="14"/>
                <w:lang w:eastAsia="es-MX"/>
              </w:rPr>
            </w:pPr>
          </w:p>
        </w:tc>
      </w:tr>
    </w:tbl>
    <w:p w14:paraId="67B3CD99" w14:textId="77777777" w:rsidR="000B180F" w:rsidRDefault="000B180F" w:rsidP="000B180F">
      <w:pPr>
        <w:tabs>
          <w:tab w:val="left" w:pos="11199"/>
        </w:tabs>
        <w:spacing w:after="120" w:line="250" w:lineRule="exact"/>
        <w:rPr>
          <w:rFonts w:ascii="Noto Sans" w:hAnsi="Noto Sans" w:cs="Noto Sans"/>
          <w:sz w:val="18"/>
          <w:szCs w:val="18"/>
        </w:rPr>
      </w:pPr>
    </w:p>
    <w:p w14:paraId="6501B17C" w14:textId="4E67C099" w:rsidR="009243E7" w:rsidRPr="0060064A" w:rsidRDefault="009243E7" w:rsidP="009243E7">
      <w:pPr>
        <w:pStyle w:val="Prrafodelista"/>
        <w:numPr>
          <w:ilvl w:val="0"/>
          <w:numId w:val="21"/>
        </w:numPr>
        <w:spacing w:afterLines="120" w:after="288" w:line="250" w:lineRule="exact"/>
        <w:ind w:left="998" w:hanging="284"/>
        <w:jc w:val="both"/>
        <w:rPr>
          <w:rFonts w:ascii="Noto Sans" w:hAnsi="Noto Sans" w:cs="Noto Sans"/>
          <w:sz w:val="18"/>
          <w:szCs w:val="18"/>
        </w:rPr>
      </w:pPr>
      <w:r>
        <w:rPr>
          <w:rFonts w:ascii="Noto Sans" w:hAnsi="Noto Sans" w:cs="Noto Sans"/>
          <w:sz w:val="18"/>
          <w:szCs w:val="18"/>
        </w:rPr>
        <w:t>4</w:t>
      </w:r>
      <w:r w:rsidRPr="0060064A">
        <w:rPr>
          <w:rFonts w:ascii="Noto Sans" w:hAnsi="Noto Sans" w:cs="Noto Sans"/>
          <w:sz w:val="18"/>
          <w:szCs w:val="18"/>
        </w:rPr>
        <w:t>.1.</w:t>
      </w:r>
      <w:r>
        <w:rPr>
          <w:rFonts w:ascii="Noto Sans" w:hAnsi="Noto Sans" w:cs="Noto Sans"/>
          <w:sz w:val="18"/>
          <w:szCs w:val="18"/>
        </w:rPr>
        <w:t>b</w:t>
      </w:r>
      <w:r w:rsidRPr="0060064A">
        <w:rPr>
          <w:rFonts w:ascii="Noto Sans" w:hAnsi="Noto Sans" w:cs="Noto Sans"/>
          <w:sz w:val="18"/>
          <w:szCs w:val="18"/>
        </w:rPr>
        <w:t>.</w:t>
      </w:r>
      <w:r>
        <w:rPr>
          <w:rFonts w:ascii="Noto Sans" w:hAnsi="Noto Sans" w:cs="Noto Sans"/>
          <w:sz w:val="18"/>
          <w:szCs w:val="18"/>
        </w:rPr>
        <w:t>1</w:t>
      </w:r>
      <w:r w:rsidRPr="0060064A">
        <w:rPr>
          <w:rFonts w:ascii="Noto Sans" w:hAnsi="Noto Sans" w:cs="Noto Sans"/>
          <w:sz w:val="18"/>
          <w:szCs w:val="18"/>
        </w:rPr>
        <w:t xml:space="preserve">) Corresponde a las cuotas, aportaciones y descuentos de seguridad social que tiene el Instituto en su carácter de patrón, de conformidad con las disposiciones establecidas en la LSS y Ley de INFONAVIT. </w:t>
      </w:r>
    </w:p>
    <w:p w14:paraId="0D02D2BE" w14:textId="77777777" w:rsidR="009243E7" w:rsidRPr="0060064A" w:rsidRDefault="009243E7" w:rsidP="009243E7">
      <w:pPr>
        <w:pStyle w:val="Prrafodelista"/>
        <w:spacing w:afterLines="120" w:after="288" w:line="250" w:lineRule="exact"/>
        <w:ind w:left="998"/>
        <w:jc w:val="both"/>
        <w:rPr>
          <w:rFonts w:ascii="Noto Sans" w:hAnsi="Noto Sans" w:cs="Noto Sans"/>
          <w:sz w:val="18"/>
          <w:szCs w:val="18"/>
        </w:rPr>
      </w:pPr>
    </w:p>
    <w:p w14:paraId="74A89F90" w14:textId="77777777" w:rsidR="009243E7" w:rsidRDefault="009243E7" w:rsidP="009243E7">
      <w:pPr>
        <w:pStyle w:val="Prrafodelista"/>
        <w:spacing w:afterLines="120" w:after="288" w:line="250" w:lineRule="exact"/>
        <w:ind w:left="998"/>
        <w:jc w:val="both"/>
        <w:rPr>
          <w:rFonts w:ascii="Noto Sans" w:hAnsi="Noto Sans" w:cs="Noto Sans"/>
          <w:sz w:val="18"/>
          <w:szCs w:val="18"/>
        </w:rPr>
      </w:pPr>
    </w:p>
    <w:p w14:paraId="77E3473D" w14:textId="2F29A86A" w:rsidR="000B180F" w:rsidRPr="0060064A" w:rsidRDefault="000B180F" w:rsidP="000B180F">
      <w:pPr>
        <w:pStyle w:val="Prrafodelista"/>
        <w:numPr>
          <w:ilvl w:val="0"/>
          <w:numId w:val="21"/>
        </w:numPr>
        <w:spacing w:after="120" w:line="250" w:lineRule="exact"/>
        <w:ind w:left="998" w:hanging="284"/>
        <w:jc w:val="both"/>
        <w:rPr>
          <w:rFonts w:ascii="Noto Sans" w:hAnsi="Noto Sans" w:cs="Noto Sans"/>
          <w:sz w:val="18"/>
          <w:szCs w:val="18"/>
        </w:rPr>
      </w:pPr>
      <w:r>
        <w:rPr>
          <w:rFonts w:ascii="Noto Sans" w:hAnsi="Noto Sans" w:cs="Noto Sans"/>
          <w:sz w:val="18"/>
          <w:szCs w:val="18"/>
        </w:rPr>
        <w:t>4</w:t>
      </w:r>
      <w:r w:rsidRPr="0060064A">
        <w:rPr>
          <w:rFonts w:ascii="Noto Sans" w:hAnsi="Noto Sans" w:cs="Noto Sans"/>
          <w:sz w:val="18"/>
          <w:szCs w:val="18"/>
        </w:rPr>
        <w:t>.1.</w:t>
      </w:r>
      <w:r w:rsidR="006E7E24">
        <w:rPr>
          <w:rFonts w:ascii="Noto Sans" w:hAnsi="Noto Sans" w:cs="Noto Sans"/>
          <w:sz w:val="18"/>
          <w:szCs w:val="18"/>
        </w:rPr>
        <w:t>b</w:t>
      </w:r>
      <w:r w:rsidRPr="0060064A">
        <w:rPr>
          <w:rFonts w:ascii="Noto Sans" w:hAnsi="Noto Sans" w:cs="Noto Sans"/>
          <w:sz w:val="18"/>
          <w:szCs w:val="18"/>
        </w:rPr>
        <w:t>.</w:t>
      </w:r>
      <w:r w:rsidR="009243E7">
        <w:rPr>
          <w:rFonts w:ascii="Noto Sans" w:hAnsi="Noto Sans" w:cs="Noto Sans"/>
          <w:sz w:val="18"/>
          <w:szCs w:val="18"/>
        </w:rPr>
        <w:t>2</w:t>
      </w:r>
      <w:r w:rsidRPr="0060064A">
        <w:rPr>
          <w:rFonts w:ascii="Noto Sans" w:hAnsi="Noto Sans" w:cs="Noto Sans"/>
          <w:sz w:val="18"/>
          <w:szCs w:val="18"/>
        </w:rPr>
        <w:t>) Las contribuciones por pagar corresponden al Impuesto Sobre la Renta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14:paraId="6530D523" w14:textId="77777777" w:rsidR="000B180F" w:rsidRPr="0060064A" w:rsidRDefault="000B180F" w:rsidP="000B180F">
      <w:pPr>
        <w:pStyle w:val="Prrafodelista"/>
        <w:spacing w:after="120" w:line="250" w:lineRule="exact"/>
        <w:ind w:left="998"/>
        <w:jc w:val="both"/>
        <w:rPr>
          <w:rFonts w:ascii="Noto Sans" w:hAnsi="Noto Sans" w:cs="Noto Sans"/>
          <w:sz w:val="18"/>
          <w:szCs w:val="18"/>
        </w:rPr>
      </w:pPr>
    </w:p>
    <w:p w14:paraId="5C15FC49" w14:textId="77777777" w:rsidR="000B180F" w:rsidRDefault="000B180F" w:rsidP="00665FA4">
      <w:pPr>
        <w:pStyle w:val="Prrafodelista"/>
        <w:tabs>
          <w:tab w:val="left" w:pos="11199"/>
        </w:tabs>
        <w:spacing w:after="120" w:line="250" w:lineRule="exact"/>
        <w:rPr>
          <w:rFonts w:ascii="Noto Sans" w:hAnsi="Noto Sans" w:cs="Noto Sans"/>
          <w:sz w:val="18"/>
          <w:szCs w:val="18"/>
        </w:rPr>
      </w:pPr>
    </w:p>
    <w:p w14:paraId="38562ED2" w14:textId="2E0CCECD" w:rsidR="003C4851" w:rsidRPr="0060064A" w:rsidRDefault="00665FA4" w:rsidP="00ED1D2E">
      <w:pPr>
        <w:pStyle w:val="Prrafodelista"/>
        <w:numPr>
          <w:ilvl w:val="0"/>
          <w:numId w:val="15"/>
        </w:numPr>
        <w:tabs>
          <w:tab w:val="left" w:pos="11199"/>
        </w:tabs>
        <w:spacing w:after="120" w:line="250" w:lineRule="exact"/>
        <w:rPr>
          <w:rFonts w:ascii="Noto Sans" w:hAnsi="Noto Sans" w:cs="Noto Sans"/>
          <w:sz w:val="18"/>
          <w:szCs w:val="18"/>
        </w:rPr>
      </w:pPr>
      <w:r>
        <w:rPr>
          <w:rFonts w:ascii="Noto Sans" w:hAnsi="Noto Sans" w:cs="Noto Sans"/>
          <w:sz w:val="18"/>
          <w:szCs w:val="18"/>
        </w:rPr>
        <w:t>4</w:t>
      </w:r>
      <w:r w:rsidR="003C4851" w:rsidRPr="0060064A">
        <w:rPr>
          <w:rFonts w:ascii="Noto Sans" w:hAnsi="Noto Sans" w:cs="Noto Sans"/>
          <w:sz w:val="18"/>
          <w:szCs w:val="18"/>
        </w:rPr>
        <w:t>.1.</w:t>
      </w:r>
      <w:r w:rsidR="006E7E24">
        <w:rPr>
          <w:rFonts w:ascii="Noto Sans" w:hAnsi="Noto Sans" w:cs="Noto Sans"/>
          <w:sz w:val="18"/>
          <w:szCs w:val="18"/>
        </w:rPr>
        <w:t>c</w:t>
      </w:r>
      <w:r w:rsidR="003C4851" w:rsidRPr="0060064A">
        <w:rPr>
          <w:rFonts w:ascii="Noto Sans" w:hAnsi="Noto Sans" w:cs="Noto Sans"/>
          <w:sz w:val="18"/>
          <w:szCs w:val="18"/>
        </w:rPr>
        <w:t xml:space="preserve">) </w:t>
      </w:r>
      <w:r w:rsidR="004C72F3">
        <w:rPr>
          <w:rFonts w:cs="Noto Sans"/>
          <w:szCs w:val="18"/>
        </w:rPr>
        <w:t>A</w:t>
      </w:r>
      <w:r w:rsidR="004C72F3" w:rsidRPr="000F4D76">
        <w:rPr>
          <w:rFonts w:ascii="Noto Sans" w:hAnsi="Noto Sans" w:cs="Noto Sans"/>
          <w:sz w:val="18"/>
          <w:szCs w:val="18"/>
        </w:rPr>
        <w:t xml:space="preserve">l </w:t>
      </w:r>
      <w:r w:rsidR="003E0A61" w:rsidRPr="002B3F78">
        <w:rPr>
          <w:rFonts w:cs="Noto Sans"/>
          <w:szCs w:val="18"/>
        </w:rPr>
        <w:t>3</w:t>
      </w:r>
      <w:r w:rsidR="003E0A61">
        <w:rPr>
          <w:rFonts w:cs="Noto Sans"/>
          <w:szCs w:val="18"/>
        </w:rPr>
        <w:t>0</w:t>
      </w:r>
      <w:r w:rsidR="003E0A61" w:rsidRPr="002B3F78">
        <w:rPr>
          <w:rFonts w:cs="Noto Sans"/>
          <w:szCs w:val="18"/>
        </w:rPr>
        <w:t xml:space="preserve"> de </w:t>
      </w:r>
      <w:r w:rsidR="003E0A61">
        <w:rPr>
          <w:rFonts w:cs="Noto Sans"/>
          <w:szCs w:val="18"/>
        </w:rPr>
        <w:t>junio</w:t>
      </w:r>
      <w:r w:rsidR="003E0A61" w:rsidRPr="002B3F78">
        <w:rPr>
          <w:rFonts w:cs="Noto Sans"/>
          <w:szCs w:val="18"/>
        </w:rPr>
        <w:t xml:space="preserve"> </w:t>
      </w:r>
      <w:r w:rsidR="004C72F3" w:rsidRPr="000F4D76">
        <w:rPr>
          <w:rFonts w:ascii="Noto Sans" w:hAnsi="Noto Sans" w:cs="Noto Sans"/>
          <w:sz w:val="18"/>
          <w:szCs w:val="18"/>
        </w:rPr>
        <w:t>de 2025 y 31 de diciembre de 2024</w:t>
      </w:r>
      <w:r w:rsidR="003C4851" w:rsidRPr="0060064A">
        <w:rPr>
          <w:rFonts w:ascii="Noto Sans" w:hAnsi="Noto Sans" w:cs="Noto Sans"/>
          <w:sz w:val="18"/>
          <w:szCs w:val="18"/>
        </w:rPr>
        <w:t>, el rubro de Servicios Personales se integra de la siguiente manera:</w:t>
      </w:r>
    </w:p>
    <w:p w14:paraId="5D4EF672" w14:textId="77777777" w:rsidR="003C4851" w:rsidRPr="003C4851" w:rsidRDefault="003C4851" w:rsidP="003C4851">
      <w:pPr>
        <w:pStyle w:val="Prrafodelista"/>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3C4851" w:rsidRPr="005946C5" w14:paraId="1BEB3C65"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9514A2F"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7E97AD96" w14:textId="77777777" w:rsidR="003C4851" w:rsidRPr="008E629A" w:rsidRDefault="003C4851"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0E10E5" w:rsidRPr="005946C5" w14:paraId="0BFA9D57"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A78AD8F" w14:textId="77777777" w:rsidR="000E10E5" w:rsidRPr="008E629A" w:rsidRDefault="000E10E5"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2A709A2" w14:textId="3644AB73" w:rsidR="000E10E5" w:rsidRPr="008E629A" w:rsidRDefault="000E10E5"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0D297F05" w14:textId="4EC9A989" w:rsidR="000E10E5" w:rsidRPr="008E629A" w:rsidRDefault="000E10E5"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4570B7" w:rsidRPr="005946C5" w14:paraId="2050439E" w14:textId="77777777" w:rsidTr="0099699C">
        <w:trPr>
          <w:trHeight w:val="283"/>
          <w:jc w:val="center"/>
        </w:trPr>
        <w:tc>
          <w:tcPr>
            <w:tcW w:w="5475" w:type="dxa"/>
            <w:tcBorders>
              <w:top w:val="triple" w:sz="12" w:space="0" w:color="A6802D"/>
              <w:left w:val="nil"/>
              <w:bottom w:val="nil"/>
              <w:right w:val="nil"/>
            </w:tcBorders>
            <w:shd w:val="clear" w:color="000000" w:fill="F2F2F2"/>
            <w:vAlign w:val="center"/>
          </w:tcPr>
          <w:p w14:paraId="2872C0C3" w14:textId="224E77B2" w:rsidR="004570B7" w:rsidRPr="003C4851" w:rsidRDefault="004570B7" w:rsidP="004570B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Sueldos y Remuneraciones</w:t>
            </w:r>
          </w:p>
        </w:tc>
        <w:tc>
          <w:tcPr>
            <w:tcW w:w="1960" w:type="dxa"/>
            <w:tcBorders>
              <w:top w:val="triple" w:sz="12" w:space="0" w:color="A6802D"/>
              <w:left w:val="nil"/>
              <w:bottom w:val="nil"/>
              <w:right w:val="nil"/>
            </w:tcBorders>
            <w:shd w:val="clear" w:color="000000" w:fill="F2F2F2"/>
            <w:vAlign w:val="center"/>
          </w:tcPr>
          <w:p w14:paraId="5559CE7B" w14:textId="5F13834A" w:rsidR="004570B7" w:rsidRPr="003C4851" w:rsidRDefault="004570B7" w:rsidP="004570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686,809,823.5</w:t>
            </w:r>
          </w:p>
        </w:tc>
        <w:tc>
          <w:tcPr>
            <w:tcW w:w="1961" w:type="dxa"/>
            <w:tcBorders>
              <w:top w:val="triple" w:sz="12" w:space="0" w:color="A6802D"/>
              <w:left w:val="nil"/>
              <w:bottom w:val="nil"/>
              <w:right w:val="nil"/>
            </w:tcBorders>
            <w:shd w:val="clear" w:color="000000" w:fill="F2F2F2"/>
            <w:vAlign w:val="center"/>
          </w:tcPr>
          <w:p w14:paraId="7153361F" w14:textId="4BD8621A" w:rsidR="004570B7" w:rsidRPr="003C4851" w:rsidRDefault="004570B7" w:rsidP="004570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511,232,377.3</w:t>
            </w:r>
          </w:p>
        </w:tc>
      </w:tr>
      <w:tr w:rsidR="004570B7" w:rsidRPr="00FC0913" w14:paraId="2FEE42DE" w14:textId="77777777" w:rsidTr="0099699C">
        <w:trPr>
          <w:trHeight w:val="283"/>
          <w:jc w:val="center"/>
        </w:trPr>
        <w:tc>
          <w:tcPr>
            <w:tcW w:w="5475" w:type="dxa"/>
            <w:tcBorders>
              <w:top w:val="nil"/>
              <w:left w:val="nil"/>
              <w:bottom w:val="nil"/>
              <w:right w:val="nil"/>
            </w:tcBorders>
            <w:shd w:val="clear" w:color="000000" w:fill="F2F2F2"/>
            <w:vAlign w:val="center"/>
          </w:tcPr>
          <w:p w14:paraId="423EBDB8" w14:textId="7C6348B4" w:rsidR="004570B7" w:rsidRPr="003C4851" w:rsidRDefault="004570B7" w:rsidP="004570B7">
            <w:pPr>
              <w:spacing w:after="0" w:line="240" w:lineRule="auto"/>
              <w:jc w:val="both"/>
              <w:rPr>
                <w:rFonts w:ascii="Noto Sans" w:hAnsi="Noto Sans" w:cs="Noto Sans"/>
                <w:color w:val="000000"/>
                <w:sz w:val="15"/>
                <w:szCs w:val="15"/>
              </w:rPr>
            </w:pPr>
            <w:r>
              <w:rPr>
                <w:rFonts w:ascii="Noto Sans" w:hAnsi="Noto Sans" w:cs="Noto Sans"/>
                <w:color w:val="000000"/>
                <w:sz w:val="15"/>
                <w:szCs w:val="15"/>
              </w:rPr>
              <w:t>Provisión de Liquidaciones Finiquitas Pendientes de Pago</w:t>
            </w:r>
          </w:p>
        </w:tc>
        <w:tc>
          <w:tcPr>
            <w:tcW w:w="1960" w:type="dxa"/>
            <w:tcBorders>
              <w:top w:val="nil"/>
              <w:left w:val="nil"/>
              <w:bottom w:val="nil"/>
              <w:right w:val="nil"/>
            </w:tcBorders>
            <w:shd w:val="clear" w:color="000000" w:fill="F2F2F2"/>
            <w:vAlign w:val="center"/>
          </w:tcPr>
          <w:p w14:paraId="7C0113F5" w14:textId="5741DD24" w:rsidR="004570B7" w:rsidRPr="003C4851" w:rsidRDefault="004570B7" w:rsidP="004570B7">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615,518,019.2</w:t>
            </w:r>
          </w:p>
        </w:tc>
        <w:tc>
          <w:tcPr>
            <w:tcW w:w="1961" w:type="dxa"/>
            <w:tcBorders>
              <w:top w:val="nil"/>
              <w:left w:val="nil"/>
              <w:bottom w:val="nil"/>
              <w:right w:val="nil"/>
            </w:tcBorders>
            <w:shd w:val="clear" w:color="000000" w:fill="F2F2F2"/>
            <w:vAlign w:val="center"/>
          </w:tcPr>
          <w:p w14:paraId="50678F38" w14:textId="2B7C98B3" w:rsidR="004570B7" w:rsidRPr="003C4851" w:rsidRDefault="004570B7" w:rsidP="004570B7">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333,683,100.5</w:t>
            </w:r>
          </w:p>
        </w:tc>
      </w:tr>
      <w:tr w:rsidR="004570B7" w:rsidRPr="00FC0913" w14:paraId="593AEA27" w14:textId="77777777" w:rsidTr="0099699C">
        <w:trPr>
          <w:trHeight w:val="283"/>
          <w:jc w:val="center"/>
        </w:trPr>
        <w:tc>
          <w:tcPr>
            <w:tcW w:w="5475" w:type="dxa"/>
            <w:tcBorders>
              <w:top w:val="nil"/>
              <w:left w:val="nil"/>
              <w:bottom w:val="nil"/>
              <w:right w:val="nil"/>
            </w:tcBorders>
            <w:shd w:val="clear" w:color="000000" w:fill="F2F2F2"/>
            <w:vAlign w:val="center"/>
          </w:tcPr>
          <w:p w14:paraId="62880B39" w14:textId="175E4316" w:rsidR="004570B7" w:rsidRPr="003C4851" w:rsidRDefault="004570B7" w:rsidP="004570B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Ropa Contractual</w:t>
            </w:r>
          </w:p>
        </w:tc>
        <w:tc>
          <w:tcPr>
            <w:tcW w:w="1960" w:type="dxa"/>
            <w:tcBorders>
              <w:top w:val="nil"/>
              <w:left w:val="nil"/>
              <w:bottom w:val="nil"/>
              <w:right w:val="nil"/>
            </w:tcBorders>
            <w:shd w:val="clear" w:color="000000" w:fill="F2F2F2"/>
            <w:vAlign w:val="center"/>
          </w:tcPr>
          <w:p w14:paraId="18237BFA" w14:textId="645633E3" w:rsidR="004570B7" w:rsidRPr="003C4851" w:rsidRDefault="004570B7" w:rsidP="004570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30,540,803.0</w:t>
            </w:r>
          </w:p>
        </w:tc>
        <w:tc>
          <w:tcPr>
            <w:tcW w:w="1961" w:type="dxa"/>
            <w:tcBorders>
              <w:top w:val="nil"/>
              <w:left w:val="nil"/>
              <w:bottom w:val="nil"/>
              <w:right w:val="nil"/>
            </w:tcBorders>
            <w:shd w:val="clear" w:color="000000" w:fill="F2F2F2"/>
            <w:vAlign w:val="center"/>
          </w:tcPr>
          <w:p w14:paraId="2457D95F" w14:textId="6DCBF4EE" w:rsidR="004570B7" w:rsidRPr="003C4851" w:rsidRDefault="004570B7" w:rsidP="004570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550,535,514.3</w:t>
            </w:r>
          </w:p>
        </w:tc>
      </w:tr>
      <w:tr w:rsidR="004570B7" w:rsidRPr="00FC0913" w14:paraId="4C523345" w14:textId="77777777" w:rsidTr="0099699C">
        <w:trPr>
          <w:trHeight w:val="283"/>
          <w:jc w:val="center"/>
        </w:trPr>
        <w:tc>
          <w:tcPr>
            <w:tcW w:w="5475" w:type="dxa"/>
            <w:tcBorders>
              <w:top w:val="nil"/>
              <w:left w:val="nil"/>
              <w:bottom w:val="nil"/>
              <w:right w:val="nil"/>
            </w:tcBorders>
            <w:shd w:val="clear" w:color="000000" w:fill="F2F2F2"/>
            <w:vAlign w:val="center"/>
          </w:tcPr>
          <w:p w14:paraId="4435AF70" w14:textId="400DCB10" w:rsidR="004570B7" w:rsidRPr="003C4851" w:rsidRDefault="004570B7" w:rsidP="004570B7">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Gastos de Personal</w:t>
            </w:r>
          </w:p>
        </w:tc>
        <w:tc>
          <w:tcPr>
            <w:tcW w:w="1960" w:type="dxa"/>
            <w:tcBorders>
              <w:top w:val="nil"/>
              <w:left w:val="nil"/>
              <w:bottom w:val="nil"/>
              <w:right w:val="nil"/>
            </w:tcBorders>
            <w:shd w:val="clear" w:color="000000" w:fill="F2F2F2"/>
            <w:vAlign w:val="center"/>
          </w:tcPr>
          <w:p w14:paraId="5A982A49" w14:textId="06098788" w:rsidR="004570B7" w:rsidRPr="003C4851" w:rsidRDefault="004570B7" w:rsidP="004570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1,681,388.9</w:t>
            </w:r>
          </w:p>
        </w:tc>
        <w:tc>
          <w:tcPr>
            <w:tcW w:w="1961" w:type="dxa"/>
            <w:tcBorders>
              <w:top w:val="nil"/>
              <w:left w:val="nil"/>
              <w:bottom w:val="nil"/>
              <w:right w:val="nil"/>
            </w:tcBorders>
            <w:shd w:val="clear" w:color="000000" w:fill="F2F2F2"/>
            <w:vAlign w:val="center"/>
          </w:tcPr>
          <w:p w14:paraId="1A9B211E" w14:textId="5CE3E332" w:rsidR="004570B7" w:rsidRPr="003C4851" w:rsidRDefault="004570B7" w:rsidP="004570B7">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1,460,435.9</w:t>
            </w:r>
          </w:p>
        </w:tc>
      </w:tr>
      <w:tr w:rsidR="005756F4" w:rsidRPr="005946C5" w14:paraId="75285B42" w14:textId="77777777" w:rsidTr="0099699C">
        <w:trPr>
          <w:trHeight w:val="283"/>
          <w:jc w:val="center"/>
        </w:trPr>
        <w:tc>
          <w:tcPr>
            <w:tcW w:w="5475" w:type="dxa"/>
            <w:tcBorders>
              <w:top w:val="nil"/>
              <w:left w:val="nil"/>
              <w:bottom w:val="single" w:sz="12" w:space="0" w:color="A6802D"/>
              <w:right w:val="nil"/>
            </w:tcBorders>
            <w:shd w:val="clear" w:color="000000" w:fill="F2F2F2"/>
            <w:vAlign w:val="center"/>
          </w:tcPr>
          <w:p w14:paraId="0885C0D3" w14:textId="231EAE6F" w:rsidR="005756F4" w:rsidRPr="003C4851" w:rsidRDefault="005756F4" w:rsidP="005756F4">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Servicios Personales </w:t>
            </w:r>
          </w:p>
        </w:tc>
        <w:tc>
          <w:tcPr>
            <w:tcW w:w="1960" w:type="dxa"/>
            <w:tcBorders>
              <w:top w:val="nil"/>
              <w:left w:val="nil"/>
              <w:bottom w:val="single" w:sz="12" w:space="0" w:color="A6802D"/>
              <w:right w:val="nil"/>
            </w:tcBorders>
            <w:shd w:val="clear" w:color="000000" w:fill="F2F2F2"/>
            <w:vAlign w:val="center"/>
          </w:tcPr>
          <w:p w14:paraId="0E432191" w14:textId="37324F83" w:rsidR="005756F4" w:rsidRPr="003C4851" w:rsidRDefault="00976662" w:rsidP="005756F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1,334,550,034.6</w:t>
            </w:r>
          </w:p>
        </w:tc>
        <w:tc>
          <w:tcPr>
            <w:tcW w:w="1961" w:type="dxa"/>
            <w:tcBorders>
              <w:top w:val="nil"/>
              <w:left w:val="nil"/>
              <w:bottom w:val="single" w:sz="12" w:space="0" w:color="A6802D"/>
              <w:right w:val="nil"/>
            </w:tcBorders>
            <w:shd w:val="clear" w:color="000000" w:fill="F2F2F2"/>
            <w:vAlign w:val="center"/>
          </w:tcPr>
          <w:p w14:paraId="406B7305" w14:textId="3B44C314" w:rsidR="005756F4" w:rsidRPr="003C4851" w:rsidRDefault="005756F4" w:rsidP="005756F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1,396,911,428.0</w:t>
            </w:r>
          </w:p>
        </w:tc>
      </w:tr>
      <w:tr w:rsidR="003C4851" w:rsidRPr="00274555" w14:paraId="2D7F1112" w14:textId="77777777" w:rsidTr="003711A6">
        <w:trPr>
          <w:trHeight w:val="226"/>
          <w:jc w:val="center"/>
        </w:trPr>
        <w:tc>
          <w:tcPr>
            <w:tcW w:w="5475" w:type="dxa"/>
            <w:tcBorders>
              <w:top w:val="single" w:sz="12" w:space="0" w:color="A6802D"/>
              <w:left w:val="nil"/>
              <w:right w:val="nil"/>
            </w:tcBorders>
            <w:vAlign w:val="center"/>
          </w:tcPr>
          <w:p w14:paraId="2841E804" w14:textId="77777777" w:rsidR="003C4851" w:rsidRPr="00274555" w:rsidRDefault="003C4851"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036EB0CE"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48819006" w14:textId="77777777" w:rsidR="003C4851" w:rsidRPr="00274555" w:rsidRDefault="003C4851" w:rsidP="003711A6">
            <w:pPr>
              <w:spacing w:after="0" w:line="240" w:lineRule="auto"/>
              <w:jc w:val="both"/>
              <w:rPr>
                <w:rFonts w:ascii="Noto Sans" w:eastAsia="Times New Roman" w:hAnsi="Noto Sans" w:cs="Noto Sans"/>
                <w:b/>
                <w:bCs/>
                <w:color w:val="000000"/>
                <w:sz w:val="14"/>
                <w:szCs w:val="14"/>
                <w:lang w:eastAsia="es-MX"/>
              </w:rPr>
            </w:pPr>
          </w:p>
        </w:tc>
      </w:tr>
    </w:tbl>
    <w:p w14:paraId="415583AF"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712668BA"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52FEF4D5"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1172294D" w14:textId="77777777" w:rsidR="00674B04" w:rsidRDefault="00674B04" w:rsidP="00674B04">
      <w:pPr>
        <w:pStyle w:val="Prrafodelista"/>
        <w:spacing w:afterLines="120" w:after="288" w:line="250" w:lineRule="exact"/>
        <w:jc w:val="both"/>
        <w:rPr>
          <w:rFonts w:ascii="Noto Sans" w:hAnsi="Noto Sans" w:cs="Noto Sans"/>
          <w:sz w:val="18"/>
          <w:szCs w:val="18"/>
        </w:rPr>
      </w:pPr>
    </w:p>
    <w:p w14:paraId="4875A02D" w14:textId="313654C5" w:rsidR="0060064A" w:rsidRDefault="0099699C" w:rsidP="00D461EC">
      <w:pPr>
        <w:pStyle w:val="Prrafodelista"/>
        <w:numPr>
          <w:ilvl w:val="0"/>
          <w:numId w:val="20"/>
        </w:numPr>
        <w:spacing w:afterLines="120" w:after="288" w:line="250" w:lineRule="exact"/>
        <w:jc w:val="both"/>
        <w:rPr>
          <w:rFonts w:ascii="Noto Sans" w:hAnsi="Noto Sans" w:cs="Noto Sans"/>
          <w:sz w:val="18"/>
          <w:szCs w:val="18"/>
        </w:rPr>
      </w:pPr>
      <w:r>
        <w:rPr>
          <w:rFonts w:ascii="Noto Sans" w:hAnsi="Noto Sans" w:cs="Noto Sans"/>
          <w:sz w:val="18"/>
          <w:szCs w:val="18"/>
        </w:rPr>
        <w:lastRenderedPageBreak/>
        <w:t>4</w:t>
      </w:r>
      <w:r w:rsidR="0060064A" w:rsidRPr="0060064A">
        <w:rPr>
          <w:rFonts w:ascii="Noto Sans" w:hAnsi="Noto Sans" w:cs="Noto Sans"/>
          <w:sz w:val="18"/>
          <w:szCs w:val="18"/>
        </w:rPr>
        <w:t>.1.</w:t>
      </w:r>
      <w:r w:rsidR="003711A6">
        <w:rPr>
          <w:rFonts w:ascii="Noto Sans" w:hAnsi="Noto Sans" w:cs="Noto Sans"/>
          <w:sz w:val="18"/>
          <w:szCs w:val="18"/>
        </w:rPr>
        <w:t>d</w:t>
      </w:r>
      <w:r w:rsidR="0060064A" w:rsidRPr="0060064A">
        <w:rPr>
          <w:rFonts w:ascii="Noto Sans" w:hAnsi="Noto Sans" w:cs="Noto Sans"/>
          <w:sz w:val="18"/>
          <w:szCs w:val="18"/>
        </w:rPr>
        <w:t xml:space="preserve">) </w:t>
      </w:r>
      <w:r w:rsidR="004C72F3" w:rsidRPr="004C72F3">
        <w:rPr>
          <w:rFonts w:ascii="Noto Sans" w:hAnsi="Noto Sans" w:cs="Noto Sans"/>
          <w:sz w:val="18"/>
          <w:szCs w:val="18"/>
        </w:rPr>
        <w:t>A</w:t>
      </w:r>
      <w:r w:rsidR="004C72F3" w:rsidRPr="000F4D76">
        <w:rPr>
          <w:rFonts w:ascii="Noto Sans" w:hAnsi="Noto Sans" w:cs="Noto Sans"/>
          <w:sz w:val="18"/>
          <w:szCs w:val="18"/>
        </w:rPr>
        <w:t xml:space="preserve">l </w:t>
      </w:r>
      <w:r w:rsidR="005A1FDC" w:rsidRPr="002B3F78">
        <w:rPr>
          <w:rFonts w:cs="Noto Sans"/>
          <w:szCs w:val="18"/>
        </w:rPr>
        <w:t>3</w:t>
      </w:r>
      <w:r w:rsidR="005A1FDC">
        <w:rPr>
          <w:rFonts w:cs="Noto Sans"/>
          <w:szCs w:val="18"/>
        </w:rPr>
        <w:t>0</w:t>
      </w:r>
      <w:r w:rsidR="005A1FDC" w:rsidRPr="002B3F78">
        <w:rPr>
          <w:rFonts w:cs="Noto Sans"/>
          <w:szCs w:val="18"/>
        </w:rPr>
        <w:t xml:space="preserve"> de </w:t>
      </w:r>
      <w:r w:rsidR="005A1FDC">
        <w:rPr>
          <w:rFonts w:cs="Noto Sans"/>
          <w:szCs w:val="18"/>
        </w:rPr>
        <w:t>junio</w:t>
      </w:r>
      <w:r w:rsidR="005A1FDC" w:rsidRPr="002B3F78">
        <w:rPr>
          <w:rFonts w:cs="Noto Sans"/>
          <w:szCs w:val="18"/>
        </w:rPr>
        <w:t xml:space="preserve"> </w:t>
      </w:r>
      <w:r w:rsidR="004C72F3" w:rsidRPr="000F4D76">
        <w:rPr>
          <w:rFonts w:ascii="Noto Sans" w:hAnsi="Noto Sans" w:cs="Noto Sans"/>
          <w:sz w:val="18"/>
          <w:szCs w:val="18"/>
        </w:rPr>
        <w:t>de 2025 y 31 de diciembre de 2024</w:t>
      </w:r>
      <w:r w:rsidR="0060064A" w:rsidRPr="0060064A">
        <w:rPr>
          <w:rFonts w:ascii="Noto Sans" w:hAnsi="Noto Sans" w:cs="Noto Sans"/>
          <w:sz w:val="18"/>
          <w:szCs w:val="18"/>
        </w:rPr>
        <w:t>, el rubro de Transferencias Otorgadas se integra de la siguiente manera:</w:t>
      </w:r>
    </w:p>
    <w:p w14:paraId="638EBE8E" w14:textId="77777777" w:rsidR="00F379EC" w:rsidRDefault="00F379EC" w:rsidP="00F379EC">
      <w:pPr>
        <w:pStyle w:val="Prrafodelista"/>
        <w:spacing w:afterLines="120" w:after="288" w:line="250" w:lineRule="exact"/>
        <w:jc w:val="both"/>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60064A" w:rsidRPr="005946C5" w14:paraId="6FC2F5EC" w14:textId="77777777" w:rsidTr="003711A6">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7631301D" w14:textId="77777777" w:rsidR="0060064A" w:rsidRPr="008E629A" w:rsidRDefault="006006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580FC344" w14:textId="77777777" w:rsidR="0060064A" w:rsidRPr="008E629A" w:rsidRDefault="0060064A" w:rsidP="003711A6">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60064A" w:rsidRPr="005946C5" w14:paraId="2D7F0654" w14:textId="77777777" w:rsidTr="003711A6">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5613FFE" w14:textId="77777777" w:rsidR="0060064A" w:rsidRPr="008E629A" w:rsidRDefault="0060064A" w:rsidP="003711A6">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1EE0C46C" w14:textId="3A63E62C" w:rsidR="0060064A" w:rsidRPr="008E629A" w:rsidRDefault="0060064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2FDC3236" w14:textId="06403ED7" w:rsidR="0060064A" w:rsidRPr="008E629A" w:rsidRDefault="0060064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4F7202" w:rsidRPr="005946C5" w14:paraId="3D1B6E08" w14:textId="77777777" w:rsidTr="0099699C">
        <w:trPr>
          <w:trHeight w:val="283"/>
          <w:jc w:val="center"/>
        </w:trPr>
        <w:tc>
          <w:tcPr>
            <w:tcW w:w="5475" w:type="dxa"/>
            <w:tcBorders>
              <w:top w:val="triple" w:sz="12" w:space="0" w:color="A6802D"/>
              <w:left w:val="nil"/>
              <w:bottom w:val="nil"/>
              <w:right w:val="nil"/>
            </w:tcBorders>
            <w:shd w:val="clear" w:color="000000" w:fill="F2F2F2"/>
            <w:vAlign w:val="center"/>
          </w:tcPr>
          <w:p w14:paraId="7D228DA4" w14:textId="643F69C0" w:rsidR="004F7202" w:rsidRPr="0060064A" w:rsidRDefault="004F7202" w:rsidP="004F7202">
            <w:pPr>
              <w:spacing w:after="0" w:line="240" w:lineRule="auto"/>
              <w:jc w:val="both"/>
              <w:rPr>
                <w:rFonts w:ascii="Noto Sans" w:hAnsi="Noto Sans" w:cs="Noto Sans"/>
                <w:color w:val="000000"/>
                <w:sz w:val="15"/>
                <w:szCs w:val="15"/>
              </w:rPr>
            </w:pPr>
            <w:r>
              <w:rPr>
                <w:rFonts w:ascii="Noto Sans" w:hAnsi="Noto Sans" w:cs="Noto Sans"/>
                <w:color w:val="000000"/>
                <w:sz w:val="15"/>
                <w:szCs w:val="15"/>
              </w:rPr>
              <w:t>Jubilaciones y Pensiones no Acreditadas</w:t>
            </w:r>
          </w:p>
        </w:tc>
        <w:tc>
          <w:tcPr>
            <w:tcW w:w="1960" w:type="dxa"/>
            <w:tcBorders>
              <w:top w:val="triple" w:sz="12" w:space="0" w:color="A6802D"/>
              <w:left w:val="nil"/>
              <w:bottom w:val="nil"/>
              <w:right w:val="nil"/>
            </w:tcBorders>
            <w:shd w:val="clear" w:color="000000" w:fill="F2F2F2"/>
            <w:vAlign w:val="center"/>
          </w:tcPr>
          <w:p w14:paraId="31A0D792" w14:textId="3CC51C8E" w:rsidR="004F7202" w:rsidRPr="0060064A" w:rsidRDefault="004F7202" w:rsidP="004F720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112,443,603.0</w:t>
            </w:r>
          </w:p>
        </w:tc>
        <w:tc>
          <w:tcPr>
            <w:tcW w:w="1961" w:type="dxa"/>
            <w:tcBorders>
              <w:top w:val="triple" w:sz="12" w:space="0" w:color="A6802D"/>
              <w:left w:val="nil"/>
              <w:bottom w:val="nil"/>
              <w:right w:val="nil"/>
            </w:tcBorders>
            <w:shd w:val="clear" w:color="000000" w:fill="F2F2F2"/>
            <w:vAlign w:val="center"/>
          </w:tcPr>
          <w:p w14:paraId="027AD3C9" w14:textId="28175D6D" w:rsidR="004F7202" w:rsidRPr="0060064A" w:rsidRDefault="004F7202" w:rsidP="004F720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110,986,575.3</w:t>
            </w:r>
          </w:p>
        </w:tc>
      </w:tr>
      <w:tr w:rsidR="004F7202" w:rsidRPr="00FC0913" w14:paraId="3154DD5C" w14:textId="77777777" w:rsidTr="0099699C">
        <w:trPr>
          <w:trHeight w:val="283"/>
          <w:jc w:val="center"/>
        </w:trPr>
        <w:tc>
          <w:tcPr>
            <w:tcW w:w="5475" w:type="dxa"/>
            <w:tcBorders>
              <w:top w:val="nil"/>
              <w:left w:val="nil"/>
              <w:bottom w:val="nil"/>
              <w:right w:val="nil"/>
            </w:tcBorders>
            <w:shd w:val="clear" w:color="000000" w:fill="F2F2F2"/>
            <w:vAlign w:val="center"/>
          </w:tcPr>
          <w:p w14:paraId="60590299" w14:textId="092F8CB9" w:rsidR="004F7202" w:rsidRPr="0060064A" w:rsidRDefault="004F7202" w:rsidP="004F720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Pensiones y Jubilaciones Contractuales</w:t>
            </w:r>
          </w:p>
        </w:tc>
        <w:tc>
          <w:tcPr>
            <w:tcW w:w="1960" w:type="dxa"/>
            <w:tcBorders>
              <w:top w:val="nil"/>
              <w:left w:val="nil"/>
              <w:bottom w:val="nil"/>
              <w:right w:val="nil"/>
            </w:tcBorders>
            <w:shd w:val="clear" w:color="000000" w:fill="F2F2F2"/>
            <w:vAlign w:val="center"/>
          </w:tcPr>
          <w:p w14:paraId="51C58252" w14:textId="648ACB30" w:rsidR="004F7202" w:rsidRPr="0060064A" w:rsidRDefault="004F7202" w:rsidP="004F7202">
            <w:pPr>
              <w:spacing w:after="0" w:line="240" w:lineRule="auto"/>
              <w:jc w:val="right"/>
              <w:rPr>
                <w:rFonts w:ascii="Noto Sans" w:eastAsia="Times New Roman" w:hAnsi="Noto Sans" w:cs="Noto Sans"/>
                <w:sz w:val="15"/>
                <w:szCs w:val="15"/>
                <w:lang w:eastAsia="es-MX"/>
              </w:rPr>
            </w:pPr>
            <w:r>
              <w:rPr>
                <w:rFonts w:ascii="Noto Sans" w:hAnsi="Noto Sans" w:cs="Noto Sans"/>
                <w:color w:val="000000"/>
                <w:sz w:val="15"/>
                <w:szCs w:val="15"/>
              </w:rPr>
              <w:t>102,671,900.3</w:t>
            </w:r>
          </w:p>
        </w:tc>
        <w:tc>
          <w:tcPr>
            <w:tcW w:w="1961" w:type="dxa"/>
            <w:tcBorders>
              <w:top w:val="nil"/>
              <w:left w:val="nil"/>
              <w:bottom w:val="nil"/>
              <w:right w:val="nil"/>
            </w:tcBorders>
            <w:shd w:val="clear" w:color="000000" w:fill="F2F2F2"/>
            <w:vAlign w:val="center"/>
          </w:tcPr>
          <w:p w14:paraId="21255C5B" w14:textId="4C606EDB" w:rsidR="004F7202" w:rsidRPr="0060064A" w:rsidRDefault="004F7202" w:rsidP="004F720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86,319,864.4</w:t>
            </w:r>
          </w:p>
        </w:tc>
      </w:tr>
      <w:tr w:rsidR="004F7202" w:rsidRPr="00FC0913" w14:paraId="33596DA6" w14:textId="77777777" w:rsidTr="0099699C">
        <w:trPr>
          <w:trHeight w:val="283"/>
          <w:jc w:val="center"/>
        </w:trPr>
        <w:tc>
          <w:tcPr>
            <w:tcW w:w="5475" w:type="dxa"/>
            <w:tcBorders>
              <w:top w:val="nil"/>
              <w:left w:val="nil"/>
              <w:bottom w:val="nil"/>
              <w:right w:val="nil"/>
            </w:tcBorders>
            <w:shd w:val="clear" w:color="000000" w:fill="F2F2F2"/>
            <w:vAlign w:val="center"/>
          </w:tcPr>
          <w:p w14:paraId="1FBCE525" w14:textId="3D66F50F" w:rsidR="004F7202" w:rsidRPr="0060064A" w:rsidRDefault="004F7202" w:rsidP="004F7202">
            <w:pPr>
              <w:spacing w:after="0" w:line="240" w:lineRule="auto"/>
              <w:jc w:val="both"/>
              <w:rPr>
                <w:rFonts w:ascii="Noto Sans" w:hAnsi="Noto Sans" w:cs="Noto Sans"/>
                <w:color w:val="000000"/>
                <w:sz w:val="15"/>
                <w:szCs w:val="15"/>
              </w:rPr>
            </w:pPr>
            <w:r>
              <w:rPr>
                <w:rFonts w:ascii="Noto Sans" w:hAnsi="Noto Sans" w:cs="Noto Sans"/>
                <w:color w:val="000000"/>
                <w:sz w:val="15"/>
                <w:szCs w:val="15"/>
              </w:rPr>
              <w:t xml:space="preserve">Servicios de Traslado de Personas </w:t>
            </w:r>
          </w:p>
        </w:tc>
        <w:tc>
          <w:tcPr>
            <w:tcW w:w="1960" w:type="dxa"/>
            <w:tcBorders>
              <w:top w:val="nil"/>
              <w:left w:val="nil"/>
              <w:bottom w:val="nil"/>
              <w:right w:val="nil"/>
            </w:tcBorders>
            <w:shd w:val="clear" w:color="000000" w:fill="F2F2F2"/>
            <w:vAlign w:val="center"/>
          </w:tcPr>
          <w:p w14:paraId="2CAF844D" w14:textId="7E7D06A7" w:rsidR="004F7202" w:rsidRPr="0060064A" w:rsidRDefault="004F7202" w:rsidP="004F720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86,838,798.8</w:t>
            </w:r>
          </w:p>
        </w:tc>
        <w:tc>
          <w:tcPr>
            <w:tcW w:w="1961" w:type="dxa"/>
            <w:tcBorders>
              <w:top w:val="nil"/>
              <w:left w:val="nil"/>
              <w:bottom w:val="nil"/>
              <w:right w:val="nil"/>
            </w:tcBorders>
            <w:shd w:val="clear" w:color="000000" w:fill="F2F2F2"/>
            <w:vAlign w:val="center"/>
          </w:tcPr>
          <w:p w14:paraId="647338DD" w14:textId="33606D6F" w:rsidR="004F7202" w:rsidRPr="0060064A" w:rsidRDefault="004F7202" w:rsidP="004F720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1,376,615.8</w:t>
            </w:r>
          </w:p>
        </w:tc>
      </w:tr>
      <w:tr w:rsidR="004F7202" w:rsidRPr="00FC0913" w14:paraId="43071035" w14:textId="77777777" w:rsidTr="0099699C">
        <w:trPr>
          <w:trHeight w:val="283"/>
          <w:jc w:val="center"/>
        </w:trPr>
        <w:tc>
          <w:tcPr>
            <w:tcW w:w="5475" w:type="dxa"/>
            <w:tcBorders>
              <w:top w:val="nil"/>
              <w:left w:val="nil"/>
              <w:bottom w:val="nil"/>
              <w:right w:val="nil"/>
            </w:tcBorders>
            <w:shd w:val="clear" w:color="000000" w:fill="F2F2F2"/>
            <w:vAlign w:val="center"/>
          </w:tcPr>
          <w:p w14:paraId="08D03A59" w14:textId="2E160A91" w:rsidR="004F7202" w:rsidRPr="0060064A" w:rsidRDefault="004F7202" w:rsidP="004F720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Fondo Especial de Contingencia</w:t>
            </w:r>
          </w:p>
        </w:tc>
        <w:tc>
          <w:tcPr>
            <w:tcW w:w="1960" w:type="dxa"/>
            <w:tcBorders>
              <w:top w:val="nil"/>
              <w:left w:val="nil"/>
              <w:bottom w:val="nil"/>
              <w:right w:val="nil"/>
            </w:tcBorders>
            <w:shd w:val="clear" w:color="000000" w:fill="F2F2F2"/>
            <w:vAlign w:val="center"/>
          </w:tcPr>
          <w:p w14:paraId="375B0EEC" w14:textId="2DA231FA" w:rsidR="004F7202" w:rsidRPr="0060064A" w:rsidRDefault="004F7202" w:rsidP="004F720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12,553,921.3</w:t>
            </w:r>
          </w:p>
        </w:tc>
        <w:tc>
          <w:tcPr>
            <w:tcW w:w="1961" w:type="dxa"/>
            <w:tcBorders>
              <w:top w:val="nil"/>
              <w:left w:val="nil"/>
              <w:bottom w:val="nil"/>
              <w:right w:val="nil"/>
            </w:tcBorders>
            <w:shd w:val="clear" w:color="000000" w:fill="F2F2F2"/>
            <w:vAlign w:val="center"/>
          </w:tcPr>
          <w:p w14:paraId="3B583C1E" w14:textId="13BEE5FF" w:rsidR="004F7202" w:rsidRPr="0060064A" w:rsidRDefault="004F7202" w:rsidP="004F720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23,732,299.2</w:t>
            </w:r>
          </w:p>
        </w:tc>
      </w:tr>
      <w:tr w:rsidR="004F7202" w:rsidRPr="00FC0913" w14:paraId="4EEAE05B" w14:textId="77777777" w:rsidTr="0099699C">
        <w:trPr>
          <w:trHeight w:val="283"/>
          <w:jc w:val="center"/>
        </w:trPr>
        <w:tc>
          <w:tcPr>
            <w:tcW w:w="5475" w:type="dxa"/>
            <w:tcBorders>
              <w:top w:val="nil"/>
              <w:left w:val="nil"/>
              <w:bottom w:val="nil"/>
              <w:right w:val="nil"/>
            </w:tcBorders>
            <w:shd w:val="clear" w:color="000000" w:fill="F2F2F2"/>
            <w:vAlign w:val="center"/>
          </w:tcPr>
          <w:p w14:paraId="01059BC5" w14:textId="02278556" w:rsidR="004F7202" w:rsidRPr="0060064A" w:rsidRDefault="004F7202" w:rsidP="004F720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Ayudas Sociales</w:t>
            </w:r>
          </w:p>
        </w:tc>
        <w:tc>
          <w:tcPr>
            <w:tcW w:w="1960" w:type="dxa"/>
            <w:tcBorders>
              <w:top w:val="nil"/>
              <w:left w:val="nil"/>
              <w:bottom w:val="nil"/>
              <w:right w:val="nil"/>
            </w:tcBorders>
            <w:shd w:val="clear" w:color="000000" w:fill="F2F2F2"/>
            <w:vAlign w:val="center"/>
          </w:tcPr>
          <w:p w14:paraId="4F35983A" w14:textId="5572E263" w:rsidR="004F7202" w:rsidRPr="0060064A" w:rsidRDefault="004F7202" w:rsidP="004F720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9,321,213.5</w:t>
            </w:r>
          </w:p>
        </w:tc>
        <w:tc>
          <w:tcPr>
            <w:tcW w:w="1961" w:type="dxa"/>
            <w:tcBorders>
              <w:top w:val="nil"/>
              <w:left w:val="nil"/>
              <w:bottom w:val="nil"/>
              <w:right w:val="nil"/>
            </w:tcBorders>
            <w:shd w:val="clear" w:color="000000" w:fill="F2F2F2"/>
            <w:vAlign w:val="center"/>
          </w:tcPr>
          <w:p w14:paraId="561DC3BC" w14:textId="19CB2CC6" w:rsidR="004F7202" w:rsidRPr="0060064A" w:rsidRDefault="004F7202" w:rsidP="004F720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423,139.8</w:t>
            </w:r>
          </w:p>
        </w:tc>
      </w:tr>
      <w:tr w:rsidR="004F7202" w:rsidRPr="00FC0913" w14:paraId="27F01A24" w14:textId="77777777" w:rsidTr="0099699C">
        <w:trPr>
          <w:trHeight w:val="283"/>
          <w:jc w:val="center"/>
        </w:trPr>
        <w:tc>
          <w:tcPr>
            <w:tcW w:w="5475" w:type="dxa"/>
            <w:tcBorders>
              <w:top w:val="nil"/>
              <w:left w:val="nil"/>
              <w:bottom w:val="nil"/>
              <w:right w:val="nil"/>
            </w:tcBorders>
            <w:shd w:val="clear" w:color="000000" w:fill="F2F2F2"/>
            <w:vAlign w:val="center"/>
          </w:tcPr>
          <w:p w14:paraId="23ADF3D4" w14:textId="5B1836B0" w:rsidR="004F7202" w:rsidRPr="0060064A" w:rsidRDefault="004F7202" w:rsidP="004F720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Guardería ABC</w:t>
            </w:r>
          </w:p>
        </w:tc>
        <w:tc>
          <w:tcPr>
            <w:tcW w:w="1960" w:type="dxa"/>
            <w:tcBorders>
              <w:top w:val="nil"/>
              <w:left w:val="nil"/>
              <w:bottom w:val="nil"/>
              <w:right w:val="nil"/>
            </w:tcBorders>
            <w:shd w:val="clear" w:color="000000" w:fill="F2F2F2"/>
            <w:vAlign w:val="center"/>
          </w:tcPr>
          <w:p w14:paraId="636FCDA7" w14:textId="5879CC7E" w:rsidR="004F7202" w:rsidRPr="0060064A" w:rsidRDefault="004F7202" w:rsidP="004F720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885,200.2</w:t>
            </w:r>
          </w:p>
        </w:tc>
        <w:tc>
          <w:tcPr>
            <w:tcW w:w="1961" w:type="dxa"/>
            <w:tcBorders>
              <w:top w:val="nil"/>
              <w:left w:val="nil"/>
              <w:bottom w:val="nil"/>
              <w:right w:val="nil"/>
            </w:tcBorders>
            <w:shd w:val="clear" w:color="000000" w:fill="F2F2F2"/>
            <w:vAlign w:val="center"/>
          </w:tcPr>
          <w:p w14:paraId="53315E00" w14:textId="46C9643F" w:rsidR="004F7202" w:rsidRPr="0060064A" w:rsidRDefault="004F7202" w:rsidP="004F720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5,809.5</w:t>
            </w:r>
          </w:p>
        </w:tc>
      </w:tr>
      <w:tr w:rsidR="004F7202" w:rsidRPr="00FC0913" w14:paraId="701AF8BD" w14:textId="77777777" w:rsidTr="0099699C">
        <w:trPr>
          <w:trHeight w:val="283"/>
          <w:jc w:val="center"/>
        </w:trPr>
        <w:tc>
          <w:tcPr>
            <w:tcW w:w="5475" w:type="dxa"/>
            <w:tcBorders>
              <w:top w:val="nil"/>
              <w:left w:val="nil"/>
              <w:bottom w:val="nil"/>
              <w:right w:val="nil"/>
            </w:tcBorders>
            <w:shd w:val="clear" w:color="000000" w:fill="F2F2F2"/>
            <w:vAlign w:val="center"/>
          </w:tcPr>
          <w:p w14:paraId="41279F62" w14:textId="7A8A216B" w:rsidR="004F7202" w:rsidRPr="0060064A" w:rsidRDefault="004F7202" w:rsidP="004F7202">
            <w:pPr>
              <w:spacing w:after="0" w:line="240" w:lineRule="auto"/>
              <w:jc w:val="both"/>
              <w:rPr>
                <w:rFonts w:ascii="Noto Sans" w:hAnsi="Noto Sans" w:cs="Noto Sans"/>
                <w:color w:val="000000"/>
                <w:sz w:val="15"/>
                <w:szCs w:val="15"/>
              </w:rPr>
            </w:pPr>
            <w:r>
              <w:rPr>
                <w:rFonts w:ascii="Noto Sans" w:hAnsi="Noto Sans" w:cs="Noto Sans"/>
                <w:color w:val="000000"/>
                <w:sz w:val="15"/>
                <w:szCs w:val="15"/>
              </w:rPr>
              <w:t>Compensaciones Servicio Social y Prácticas</w:t>
            </w:r>
          </w:p>
        </w:tc>
        <w:tc>
          <w:tcPr>
            <w:tcW w:w="1960" w:type="dxa"/>
            <w:tcBorders>
              <w:top w:val="nil"/>
              <w:left w:val="nil"/>
              <w:bottom w:val="nil"/>
              <w:right w:val="nil"/>
            </w:tcBorders>
            <w:shd w:val="clear" w:color="000000" w:fill="F2F2F2"/>
            <w:vAlign w:val="center"/>
          </w:tcPr>
          <w:p w14:paraId="281A574F" w14:textId="1DB01416" w:rsidR="004F7202" w:rsidRPr="0060064A" w:rsidRDefault="004F7202" w:rsidP="004F720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800.0</w:t>
            </w:r>
          </w:p>
        </w:tc>
        <w:tc>
          <w:tcPr>
            <w:tcW w:w="1961" w:type="dxa"/>
            <w:tcBorders>
              <w:top w:val="nil"/>
              <w:left w:val="nil"/>
              <w:bottom w:val="nil"/>
              <w:right w:val="nil"/>
            </w:tcBorders>
            <w:shd w:val="clear" w:color="000000" w:fill="F2F2F2"/>
            <w:vAlign w:val="center"/>
          </w:tcPr>
          <w:p w14:paraId="159429F9" w14:textId="0978C805" w:rsidR="004F7202" w:rsidRPr="0060064A" w:rsidRDefault="004F7202" w:rsidP="004F7202">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800.0</w:t>
            </w:r>
          </w:p>
        </w:tc>
      </w:tr>
      <w:tr w:rsidR="004F7202" w:rsidRPr="005946C5" w14:paraId="5C3C8F91" w14:textId="77777777" w:rsidTr="0099699C">
        <w:trPr>
          <w:trHeight w:val="283"/>
          <w:jc w:val="center"/>
        </w:trPr>
        <w:tc>
          <w:tcPr>
            <w:tcW w:w="5475" w:type="dxa"/>
            <w:tcBorders>
              <w:top w:val="nil"/>
              <w:left w:val="nil"/>
              <w:bottom w:val="single" w:sz="12" w:space="0" w:color="A6802D"/>
              <w:right w:val="nil"/>
            </w:tcBorders>
            <w:shd w:val="clear" w:color="000000" w:fill="F2F2F2"/>
            <w:vAlign w:val="center"/>
          </w:tcPr>
          <w:p w14:paraId="55C56F35" w14:textId="388E7583" w:rsidR="004F7202" w:rsidRPr="0060064A" w:rsidRDefault="004F7202" w:rsidP="004F7202">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Transferencias Otorgadas </w:t>
            </w:r>
          </w:p>
        </w:tc>
        <w:tc>
          <w:tcPr>
            <w:tcW w:w="1960" w:type="dxa"/>
            <w:tcBorders>
              <w:top w:val="nil"/>
              <w:left w:val="nil"/>
              <w:bottom w:val="single" w:sz="12" w:space="0" w:color="A6802D"/>
              <w:right w:val="nil"/>
            </w:tcBorders>
            <w:shd w:val="clear" w:color="000000" w:fill="F2F2F2"/>
            <w:vAlign w:val="center"/>
          </w:tcPr>
          <w:p w14:paraId="12482A89" w14:textId="42223710" w:rsidR="004F7202" w:rsidRPr="0060064A" w:rsidRDefault="004F7202" w:rsidP="004F720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324,715,437.1</w:t>
            </w:r>
          </w:p>
        </w:tc>
        <w:tc>
          <w:tcPr>
            <w:tcW w:w="1961" w:type="dxa"/>
            <w:tcBorders>
              <w:top w:val="nil"/>
              <w:left w:val="nil"/>
              <w:bottom w:val="single" w:sz="12" w:space="0" w:color="A6802D"/>
              <w:right w:val="nil"/>
            </w:tcBorders>
            <w:shd w:val="clear" w:color="000000" w:fill="F2F2F2"/>
            <w:vAlign w:val="center"/>
          </w:tcPr>
          <w:p w14:paraId="75947AEB" w14:textId="6D36D6AE" w:rsidR="004F7202" w:rsidRPr="0060064A" w:rsidRDefault="004F7202" w:rsidP="004F7202">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222,845,104.0</w:t>
            </w:r>
          </w:p>
        </w:tc>
      </w:tr>
      <w:tr w:rsidR="0060064A" w:rsidRPr="00274555" w14:paraId="228A6282" w14:textId="77777777" w:rsidTr="003711A6">
        <w:trPr>
          <w:trHeight w:val="226"/>
          <w:jc w:val="center"/>
        </w:trPr>
        <w:tc>
          <w:tcPr>
            <w:tcW w:w="5475" w:type="dxa"/>
            <w:tcBorders>
              <w:top w:val="single" w:sz="12" w:space="0" w:color="A6802D"/>
              <w:left w:val="nil"/>
              <w:right w:val="nil"/>
            </w:tcBorders>
            <w:vAlign w:val="center"/>
          </w:tcPr>
          <w:p w14:paraId="1A5C93CE" w14:textId="77777777" w:rsidR="0060064A" w:rsidRPr="00274555" w:rsidRDefault="0060064A" w:rsidP="003711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6C9F0F6A" w14:textId="77777777" w:rsidR="0060064A" w:rsidRPr="00274555" w:rsidRDefault="0060064A" w:rsidP="003711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2D1F3D96" w14:textId="77777777" w:rsidR="0060064A" w:rsidRPr="00274555" w:rsidRDefault="0060064A" w:rsidP="003711A6">
            <w:pPr>
              <w:spacing w:after="0" w:line="240" w:lineRule="auto"/>
              <w:jc w:val="both"/>
              <w:rPr>
                <w:rFonts w:ascii="Noto Sans" w:eastAsia="Times New Roman" w:hAnsi="Noto Sans" w:cs="Noto Sans"/>
                <w:b/>
                <w:bCs/>
                <w:color w:val="000000"/>
                <w:sz w:val="14"/>
                <w:szCs w:val="14"/>
                <w:lang w:eastAsia="es-MX"/>
              </w:rPr>
            </w:pPr>
          </w:p>
        </w:tc>
      </w:tr>
    </w:tbl>
    <w:p w14:paraId="31F1E5DA" w14:textId="77777777" w:rsidR="0060064A" w:rsidRDefault="0060064A" w:rsidP="0060064A">
      <w:pPr>
        <w:spacing w:afterLines="120" w:after="288" w:line="250" w:lineRule="exact"/>
        <w:jc w:val="both"/>
        <w:rPr>
          <w:rFonts w:ascii="Noto Sans" w:hAnsi="Noto Sans" w:cs="Noto Sans"/>
          <w:sz w:val="18"/>
          <w:szCs w:val="18"/>
        </w:rPr>
      </w:pPr>
    </w:p>
    <w:p w14:paraId="280BA0C2" w14:textId="77777777" w:rsidR="003711A6" w:rsidRDefault="0099699C" w:rsidP="00ED1D2E">
      <w:pPr>
        <w:pStyle w:val="Prrafodelista"/>
        <w:numPr>
          <w:ilvl w:val="0"/>
          <w:numId w:val="19"/>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3711A6">
        <w:rPr>
          <w:rFonts w:ascii="Noto Sans" w:hAnsi="Noto Sans" w:cs="Noto Sans"/>
          <w:sz w:val="18"/>
          <w:szCs w:val="18"/>
        </w:rPr>
        <w:t xml:space="preserve">.2 </w:t>
      </w:r>
      <w:r w:rsidR="003711A6" w:rsidRPr="003711A6">
        <w:rPr>
          <w:rFonts w:ascii="Noto Sans" w:hAnsi="Noto Sans" w:cs="Noto Sans"/>
          <w:sz w:val="18"/>
          <w:szCs w:val="18"/>
        </w:rPr>
        <w:t>Fondos y Bienes de Terceros en Garantía y/o Administración a Corto Plazo</w:t>
      </w:r>
    </w:p>
    <w:p w14:paraId="6122EDAB" w14:textId="25C08620" w:rsidR="003711A6" w:rsidRDefault="004C72F3" w:rsidP="003711A6">
      <w:pPr>
        <w:tabs>
          <w:tab w:val="left" w:pos="11199"/>
        </w:tabs>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 xml:space="preserve">l </w:t>
      </w:r>
      <w:r w:rsidR="00EF2441" w:rsidRPr="009B71BB">
        <w:rPr>
          <w:rFonts w:ascii="Noto Sans" w:hAnsi="Noto Sans" w:cs="Noto Sans"/>
          <w:sz w:val="18"/>
          <w:szCs w:val="18"/>
        </w:rPr>
        <w:t>30 de junio</w:t>
      </w:r>
      <w:r w:rsidR="00EF2441" w:rsidRPr="002B3F78">
        <w:rPr>
          <w:rFonts w:cs="Noto Sans"/>
          <w:szCs w:val="18"/>
        </w:rPr>
        <w:t xml:space="preserve"> </w:t>
      </w:r>
      <w:r w:rsidRPr="000F4D76">
        <w:rPr>
          <w:rFonts w:ascii="Noto Sans" w:hAnsi="Noto Sans" w:cs="Noto Sans"/>
          <w:sz w:val="18"/>
          <w:szCs w:val="18"/>
        </w:rPr>
        <w:t>de 2025 y 31 de diciembre de 2024</w:t>
      </w:r>
      <w:r w:rsidR="008067A5" w:rsidRPr="008067A5">
        <w:rPr>
          <w:rFonts w:ascii="Noto Sans" w:hAnsi="Noto Sans" w:cs="Noto Sans"/>
          <w:sz w:val="18"/>
          <w:szCs w:val="18"/>
        </w:rPr>
        <w:t>, este rubro se integra de la siguiente manera:</w:t>
      </w:r>
    </w:p>
    <w:p w14:paraId="1404A5FF" w14:textId="77777777" w:rsidR="008067A5" w:rsidRDefault="008067A5" w:rsidP="003711A6">
      <w:pPr>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8067A5" w:rsidRPr="005946C5" w14:paraId="3B8DDDE8" w14:textId="77777777" w:rsidTr="00C60C18">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1160D832"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4B529E40"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8067A5" w:rsidRPr="005946C5" w14:paraId="4237B821" w14:textId="77777777" w:rsidTr="00C60C18">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4C86F342"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02F0CFB" w14:textId="36C9FD28" w:rsidR="008067A5" w:rsidRPr="008E629A" w:rsidRDefault="008067A5"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5811E980" w14:textId="24FC8455" w:rsidR="008067A5" w:rsidRPr="008E629A" w:rsidRDefault="008067A5"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E71E78" w:rsidRPr="005946C5" w14:paraId="4F62D8CE" w14:textId="77777777" w:rsidTr="0099699C">
        <w:trPr>
          <w:trHeight w:val="283"/>
          <w:jc w:val="center"/>
        </w:trPr>
        <w:tc>
          <w:tcPr>
            <w:tcW w:w="5475" w:type="dxa"/>
            <w:tcBorders>
              <w:top w:val="triple" w:sz="12" w:space="0" w:color="A6802D"/>
              <w:left w:val="nil"/>
              <w:bottom w:val="nil"/>
              <w:right w:val="nil"/>
            </w:tcBorders>
            <w:shd w:val="clear" w:color="000000" w:fill="F2F2F2"/>
            <w:vAlign w:val="center"/>
          </w:tcPr>
          <w:p w14:paraId="6E9FA1A7" w14:textId="2FBD86FF" w:rsidR="00E71E78" w:rsidRPr="0099699C" w:rsidRDefault="00E71E78" w:rsidP="00E71E78">
            <w:pPr>
              <w:spacing w:after="0" w:line="240" w:lineRule="auto"/>
              <w:jc w:val="both"/>
              <w:rPr>
                <w:rFonts w:ascii="Noto Sans" w:hAnsi="Noto Sans" w:cs="Noto Sans"/>
                <w:color w:val="000000"/>
                <w:sz w:val="15"/>
                <w:szCs w:val="15"/>
                <w:lang w:val="es-ES"/>
              </w:rPr>
            </w:pPr>
            <w:r>
              <w:rPr>
                <w:rFonts w:ascii="Noto Sans" w:hAnsi="Noto Sans" w:cs="Noto Sans"/>
                <w:color w:val="000000"/>
                <w:sz w:val="15"/>
                <w:szCs w:val="15"/>
              </w:rPr>
              <w:t>Pensiones del Gobierno Federal</w:t>
            </w:r>
          </w:p>
        </w:tc>
        <w:tc>
          <w:tcPr>
            <w:tcW w:w="1960" w:type="dxa"/>
            <w:tcBorders>
              <w:top w:val="triple" w:sz="12" w:space="0" w:color="A6802D"/>
              <w:left w:val="nil"/>
              <w:bottom w:val="nil"/>
              <w:right w:val="nil"/>
            </w:tcBorders>
            <w:shd w:val="clear" w:color="000000" w:fill="F2F2F2"/>
            <w:vAlign w:val="center"/>
          </w:tcPr>
          <w:p w14:paraId="7D09716F" w14:textId="4321E3DC" w:rsidR="00E71E78" w:rsidRPr="00093155" w:rsidRDefault="00E71E78" w:rsidP="00E71E78">
            <w:pPr>
              <w:spacing w:after="0" w:line="240" w:lineRule="auto"/>
              <w:jc w:val="right"/>
              <w:rPr>
                <w:rFonts w:ascii="Noto Sans" w:hAnsi="Noto Sans" w:cs="Noto Sans"/>
                <w:color w:val="000000"/>
                <w:sz w:val="15"/>
                <w:szCs w:val="15"/>
                <w:lang w:val="es-ES"/>
              </w:rPr>
            </w:pPr>
            <w:r>
              <w:rPr>
                <w:rFonts w:ascii="Noto Sans" w:hAnsi="Noto Sans" w:cs="Noto Sans"/>
                <w:color w:val="000000"/>
                <w:sz w:val="15"/>
                <w:szCs w:val="15"/>
              </w:rPr>
              <w:t>61,897,870,635.6</w:t>
            </w:r>
          </w:p>
        </w:tc>
        <w:tc>
          <w:tcPr>
            <w:tcW w:w="1961" w:type="dxa"/>
            <w:tcBorders>
              <w:top w:val="triple" w:sz="12" w:space="0" w:color="A6802D"/>
              <w:left w:val="nil"/>
              <w:bottom w:val="nil"/>
              <w:right w:val="nil"/>
            </w:tcBorders>
            <w:shd w:val="clear" w:color="000000" w:fill="F2F2F2"/>
            <w:vAlign w:val="center"/>
          </w:tcPr>
          <w:p w14:paraId="6E51B392" w14:textId="0CBD4FA1" w:rsidR="00E71E78" w:rsidRPr="00093155" w:rsidRDefault="00E71E78" w:rsidP="00E71E78">
            <w:pPr>
              <w:spacing w:after="0" w:line="240" w:lineRule="auto"/>
              <w:jc w:val="right"/>
              <w:rPr>
                <w:rFonts w:ascii="Noto Sans" w:hAnsi="Noto Sans" w:cs="Noto Sans"/>
                <w:color w:val="000000"/>
                <w:sz w:val="15"/>
                <w:szCs w:val="15"/>
                <w:lang w:val="es-ES"/>
              </w:rPr>
            </w:pPr>
            <w:r w:rsidRPr="00093155">
              <w:rPr>
                <w:rFonts w:ascii="Noto Sans" w:hAnsi="Noto Sans" w:cs="Noto Sans"/>
                <w:color w:val="000000"/>
                <w:sz w:val="15"/>
                <w:szCs w:val="15"/>
              </w:rPr>
              <w:t>1,085,456,033.6</w:t>
            </w:r>
          </w:p>
        </w:tc>
      </w:tr>
      <w:tr w:rsidR="00E71E78" w:rsidRPr="00FC0913" w14:paraId="6023DD94" w14:textId="77777777" w:rsidTr="0099699C">
        <w:trPr>
          <w:trHeight w:val="283"/>
          <w:jc w:val="center"/>
        </w:trPr>
        <w:tc>
          <w:tcPr>
            <w:tcW w:w="5475" w:type="dxa"/>
            <w:tcBorders>
              <w:top w:val="nil"/>
              <w:left w:val="nil"/>
              <w:bottom w:val="nil"/>
              <w:right w:val="nil"/>
            </w:tcBorders>
            <w:shd w:val="clear" w:color="000000" w:fill="F2F2F2"/>
            <w:vAlign w:val="center"/>
          </w:tcPr>
          <w:p w14:paraId="1E243EEA" w14:textId="21D51AAF" w:rsidR="00E71E78" w:rsidRPr="0099699C" w:rsidRDefault="00E71E78" w:rsidP="00E71E7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Fondo de Fomento a la Educación </w:t>
            </w:r>
          </w:p>
        </w:tc>
        <w:tc>
          <w:tcPr>
            <w:tcW w:w="1960" w:type="dxa"/>
            <w:tcBorders>
              <w:top w:val="nil"/>
              <w:left w:val="nil"/>
              <w:bottom w:val="nil"/>
              <w:right w:val="nil"/>
            </w:tcBorders>
            <w:shd w:val="clear" w:color="000000" w:fill="F2F2F2"/>
            <w:vAlign w:val="center"/>
          </w:tcPr>
          <w:p w14:paraId="6F8E55F2" w14:textId="5E383BD2"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1,508,865,864.8</w:t>
            </w:r>
          </w:p>
        </w:tc>
        <w:tc>
          <w:tcPr>
            <w:tcW w:w="1961" w:type="dxa"/>
            <w:tcBorders>
              <w:top w:val="nil"/>
              <w:left w:val="nil"/>
              <w:bottom w:val="nil"/>
              <w:right w:val="nil"/>
            </w:tcBorders>
            <w:shd w:val="clear" w:color="000000" w:fill="F2F2F2"/>
            <w:vAlign w:val="center"/>
          </w:tcPr>
          <w:p w14:paraId="428414EF" w14:textId="173C70EF"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1,386,877,570.5</w:t>
            </w:r>
          </w:p>
        </w:tc>
      </w:tr>
      <w:tr w:rsidR="00E71E78" w:rsidRPr="00FC0913" w14:paraId="45B0BD5B" w14:textId="77777777" w:rsidTr="0099699C">
        <w:trPr>
          <w:trHeight w:val="283"/>
          <w:jc w:val="center"/>
        </w:trPr>
        <w:tc>
          <w:tcPr>
            <w:tcW w:w="5475" w:type="dxa"/>
            <w:tcBorders>
              <w:top w:val="nil"/>
              <w:left w:val="nil"/>
              <w:bottom w:val="nil"/>
              <w:right w:val="nil"/>
            </w:tcBorders>
            <w:shd w:val="clear" w:color="000000" w:fill="F2F2F2"/>
            <w:vAlign w:val="center"/>
          </w:tcPr>
          <w:p w14:paraId="5AF85EEA" w14:textId="1E48CA91" w:rsidR="00E71E78" w:rsidRPr="0099699C" w:rsidRDefault="00E71E78" w:rsidP="00E71E7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Fondo Ayuda Extraordinaria Guardería ABC </w:t>
            </w:r>
          </w:p>
        </w:tc>
        <w:tc>
          <w:tcPr>
            <w:tcW w:w="1960" w:type="dxa"/>
            <w:tcBorders>
              <w:top w:val="nil"/>
              <w:left w:val="nil"/>
              <w:bottom w:val="nil"/>
              <w:right w:val="nil"/>
            </w:tcBorders>
            <w:shd w:val="clear" w:color="000000" w:fill="F2F2F2"/>
            <w:vAlign w:val="center"/>
          </w:tcPr>
          <w:p w14:paraId="055E2348" w14:textId="153470D0"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318,377,566.2</w:t>
            </w:r>
          </w:p>
        </w:tc>
        <w:tc>
          <w:tcPr>
            <w:tcW w:w="1961" w:type="dxa"/>
            <w:tcBorders>
              <w:top w:val="nil"/>
              <w:left w:val="nil"/>
              <w:bottom w:val="nil"/>
              <w:right w:val="nil"/>
            </w:tcBorders>
            <w:shd w:val="clear" w:color="000000" w:fill="F2F2F2"/>
            <w:vAlign w:val="center"/>
          </w:tcPr>
          <w:p w14:paraId="077C46B2" w14:textId="7DE81DB4"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108,825,971.8</w:t>
            </w:r>
          </w:p>
        </w:tc>
      </w:tr>
      <w:tr w:rsidR="00E71E78" w:rsidRPr="00FC0913" w14:paraId="1260A370" w14:textId="77777777" w:rsidTr="0099699C">
        <w:trPr>
          <w:trHeight w:val="283"/>
          <w:jc w:val="center"/>
        </w:trPr>
        <w:tc>
          <w:tcPr>
            <w:tcW w:w="5475" w:type="dxa"/>
            <w:tcBorders>
              <w:top w:val="nil"/>
              <w:left w:val="nil"/>
              <w:bottom w:val="nil"/>
              <w:right w:val="nil"/>
            </w:tcBorders>
            <w:shd w:val="clear" w:color="000000" w:fill="F2F2F2"/>
            <w:vAlign w:val="center"/>
          </w:tcPr>
          <w:p w14:paraId="285D29B9" w14:textId="43CB0D04" w:rsidR="00E71E78" w:rsidRPr="0099699C" w:rsidRDefault="00E71E78" w:rsidP="00E71E7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Fondos y Bienes de Terceros en Garantía y/o Administración a Corto Plazo</w:t>
            </w:r>
          </w:p>
        </w:tc>
        <w:tc>
          <w:tcPr>
            <w:tcW w:w="1960" w:type="dxa"/>
            <w:tcBorders>
              <w:top w:val="nil"/>
              <w:left w:val="nil"/>
              <w:bottom w:val="nil"/>
              <w:right w:val="nil"/>
            </w:tcBorders>
            <w:shd w:val="clear" w:color="000000" w:fill="F2F2F2"/>
            <w:vAlign w:val="center"/>
          </w:tcPr>
          <w:p w14:paraId="191653A2" w14:textId="6B58B444"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217,693,729.0</w:t>
            </w:r>
          </w:p>
        </w:tc>
        <w:tc>
          <w:tcPr>
            <w:tcW w:w="1961" w:type="dxa"/>
            <w:tcBorders>
              <w:top w:val="nil"/>
              <w:left w:val="nil"/>
              <w:bottom w:val="nil"/>
              <w:right w:val="nil"/>
            </w:tcBorders>
            <w:shd w:val="clear" w:color="000000" w:fill="F2F2F2"/>
            <w:vAlign w:val="center"/>
          </w:tcPr>
          <w:p w14:paraId="089334E3" w14:textId="0FC517F9"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352,111,127.7</w:t>
            </w:r>
          </w:p>
        </w:tc>
      </w:tr>
      <w:tr w:rsidR="00E71E78" w:rsidRPr="00FC0913" w14:paraId="2565B65A" w14:textId="77777777" w:rsidTr="0099699C">
        <w:trPr>
          <w:trHeight w:val="283"/>
          <w:jc w:val="center"/>
        </w:trPr>
        <w:tc>
          <w:tcPr>
            <w:tcW w:w="5475" w:type="dxa"/>
            <w:tcBorders>
              <w:top w:val="nil"/>
              <w:left w:val="nil"/>
              <w:bottom w:val="nil"/>
              <w:right w:val="nil"/>
            </w:tcBorders>
            <w:shd w:val="clear" w:color="000000" w:fill="F2F2F2"/>
            <w:vAlign w:val="center"/>
          </w:tcPr>
          <w:p w14:paraId="206AB14B" w14:textId="3CE00F0C" w:rsidR="00E71E78" w:rsidRPr="0099699C" w:rsidRDefault="00E71E78" w:rsidP="00E71E78">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Programa IMSS-Bienestar</w:t>
            </w:r>
          </w:p>
        </w:tc>
        <w:tc>
          <w:tcPr>
            <w:tcW w:w="1960" w:type="dxa"/>
            <w:tcBorders>
              <w:top w:val="nil"/>
              <w:left w:val="nil"/>
              <w:bottom w:val="nil"/>
              <w:right w:val="nil"/>
            </w:tcBorders>
            <w:shd w:val="clear" w:color="000000" w:fill="F2F2F2"/>
            <w:vAlign w:val="center"/>
          </w:tcPr>
          <w:p w14:paraId="3820472A" w14:textId="735CB003"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-6,783,322,037.9</w:t>
            </w:r>
          </w:p>
        </w:tc>
        <w:tc>
          <w:tcPr>
            <w:tcW w:w="1961" w:type="dxa"/>
            <w:tcBorders>
              <w:top w:val="nil"/>
              <w:left w:val="nil"/>
              <w:bottom w:val="nil"/>
              <w:right w:val="nil"/>
            </w:tcBorders>
            <w:shd w:val="clear" w:color="000000" w:fill="F2F2F2"/>
            <w:vAlign w:val="center"/>
          </w:tcPr>
          <w:p w14:paraId="4956E395" w14:textId="29F6DC6F" w:rsidR="00E71E78" w:rsidRPr="00093155" w:rsidRDefault="00E71E78" w:rsidP="00E71E78">
            <w:pPr>
              <w:spacing w:after="0" w:line="240" w:lineRule="auto"/>
              <w:jc w:val="right"/>
              <w:rPr>
                <w:rFonts w:ascii="Noto Sans" w:eastAsia="Times New Roman" w:hAnsi="Noto Sans" w:cs="Noto Sans"/>
                <w:color w:val="000000"/>
                <w:sz w:val="15"/>
                <w:szCs w:val="15"/>
                <w:lang w:eastAsia="es-MX"/>
              </w:rPr>
            </w:pPr>
            <w:r w:rsidRPr="00093155">
              <w:rPr>
                <w:rFonts w:ascii="Noto Sans" w:hAnsi="Noto Sans" w:cs="Noto Sans"/>
                <w:color w:val="000000"/>
                <w:sz w:val="15"/>
                <w:szCs w:val="15"/>
              </w:rPr>
              <w:t>89,797,952.9</w:t>
            </w:r>
          </w:p>
        </w:tc>
      </w:tr>
      <w:tr w:rsidR="00E71E78" w:rsidRPr="005946C5" w14:paraId="6A72F2C5" w14:textId="77777777" w:rsidTr="0099699C">
        <w:trPr>
          <w:trHeight w:val="283"/>
          <w:jc w:val="center"/>
        </w:trPr>
        <w:tc>
          <w:tcPr>
            <w:tcW w:w="5475" w:type="dxa"/>
            <w:tcBorders>
              <w:top w:val="nil"/>
              <w:left w:val="nil"/>
              <w:bottom w:val="single" w:sz="12" w:space="0" w:color="A6802D"/>
              <w:right w:val="nil"/>
            </w:tcBorders>
            <w:shd w:val="clear" w:color="000000" w:fill="F2F2F2"/>
            <w:vAlign w:val="center"/>
          </w:tcPr>
          <w:p w14:paraId="4A1171C3" w14:textId="29FD4120" w:rsidR="00E71E78" w:rsidRPr="0099699C" w:rsidRDefault="00E71E78" w:rsidP="00E71E78">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Fondos y Bienes de Terceros en Garantía y/o Administración a Corto Plazo</w:t>
            </w:r>
          </w:p>
        </w:tc>
        <w:tc>
          <w:tcPr>
            <w:tcW w:w="1960" w:type="dxa"/>
            <w:tcBorders>
              <w:top w:val="nil"/>
              <w:left w:val="nil"/>
              <w:bottom w:val="single" w:sz="12" w:space="0" w:color="A6802D"/>
              <w:right w:val="nil"/>
            </w:tcBorders>
            <w:shd w:val="clear" w:color="000000" w:fill="F2F2F2"/>
            <w:vAlign w:val="center"/>
          </w:tcPr>
          <w:p w14:paraId="1A46223B" w14:textId="3C7E8B8D" w:rsidR="00E71E78" w:rsidRPr="0099699C" w:rsidRDefault="00E71E78" w:rsidP="00E71E7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57,159,485,757.7</w:t>
            </w:r>
          </w:p>
        </w:tc>
        <w:tc>
          <w:tcPr>
            <w:tcW w:w="1961" w:type="dxa"/>
            <w:tcBorders>
              <w:top w:val="nil"/>
              <w:left w:val="nil"/>
              <w:bottom w:val="single" w:sz="12" w:space="0" w:color="A6802D"/>
              <w:right w:val="nil"/>
            </w:tcBorders>
            <w:shd w:val="clear" w:color="000000" w:fill="F2F2F2"/>
            <w:vAlign w:val="center"/>
          </w:tcPr>
          <w:p w14:paraId="0F9BE37D" w14:textId="30BDD8B2" w:rsidR="00E71E78" w:rsidRPr="0099699C" w:rsidRDefault="00E71E78" w:rsidP="00E71E78">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3,023,068,656.5</w:t>
            </w:r>
          </w:p>
        </w:tc>
      </w:tr>
      <w:tr w:rsidR="008067A5" w:rsidRPr="00274555" w14:paraId="2C91057E" w14:textId="77777777" w:rsidTr="00C60C18">
        <w:trPr>
          <w:trHeight w:val="226"/>
          <w:jc w:val="center"/>
        </w:trPr>
        <w:tc>
          <w:tcPr>
            <w:tcW w:w="5475" w:type="dxa"/>
            <w:tcBorders>
              <w:top w:val="single" w:sz="12" w:space="0" w:color="A6802D"/>
              <w:left w:val="nil"/>
              <w:right w:val="nil"/>
            </w:tcBorders>
            <w:vAlign w:val="center"/>
          </w:tcPr>
          <w:p w14:paraId="56D870E4" w14:textId="77777777" w:rsidR="008067A5" w:rsidRPr="00274555" w:rsidRDefault="008067A5" w:rsidP="00C60C18">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486FC84C"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0363F3EA"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r>
    </w:tbl>
    <w:p w14:paraId="455644CD" w14:textId="77777777" w:rsidR="008067A5" w:rsidRDefault="008067A5" w:rsidP="008067A5">
      <w:pPr>
        <w:tabs>
          <w:tab w:val="left" w:pos="11199"/>
        </w:tabs>
        <w:spacing w:after="120" w:line="250" w:lineRule="exact"/>
        <w:rPr>
          <w:rFonts w:ascii="Noto Sans" w:hAnsi="Noto Sans" w:cs="Noto Sans"/>
          <w:sz w:val="18"/>
          <w:szCs w:val="18"/>
        </w:rPr>
      </w:pPr>
    </w:p>
    <w:p w14:paraId="654FED90" w14:textId="77777777" w:rsidR="0067275A" w:rsidRPr="008067A5" w:rsidRDefault="0067275A" w:rsidP="008067A5">
      <w:pPr>
        <w:tabs>
          <w:tab w:val="left" w:pos="11199"/>
        </w:tabs>
        <w:spacing w:after="120" w:line="250" w:lineRule="exact"/>
        <w:rPr>
          <w:rFonts w:ascii="Noto Sans" w:hAnsi="Noto Sans" w:cs="Noto Sans"/>
          <w:sz w:val="18"/>
          <w:szCs w:val="18"/>
        </w:rPr>
      </w:pPr>
    </w:p>
    <w:p w14:paraId="199A456A" w14:textId="77777777" w:rsidR="008067A5" w:rsidRDefault="00AA27E0" w:rsidP="00D461EC">
      <w:pPr>
        <w:pStyle w:val="Prrafodelista"/>
        <w:numPr>
          <w:ilvl w:val="0"/>
          <w:numId w:val="22"/>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lastRenderedPageBreak/>
        <w:t>4</w:t>
      </w:r>
      <w:r w:rsidR="008067A5">
        <w:rPr>
          <w:rFonts w:ascii="Noto Sans" w:hAnsi="Noto Sans" w:cs="Noto Sans"/>
          <w:sz w:val="18"/>
          <w:szCs w:val="18"/>
        </w:rPr>
        <w:t xml:space="preserve">.3 </w:t>
      </w:r>
      <w:r w:rsidR="008067A5" w:rsidRPr="008067A5">
        <w:rPr>
          <w:rFonts w:ascii="Noto Sans" w:hAnsi="Noto Sans" w:cs="Noto Sans"/>
          <w:sz w:val="18"/>
          <w:szCs w:val="18"/>
        </w:rPr>
        <w:t>Provisiones a Corto Plazo</w:t>
      </w:r>
    </w:p>
    <w:p w14:paraId="4E65BE49" w14:textId="7C9BFCD3" w:rsidR="008067A5" w:rsidRPr="008067A5" w:rsidRDefault="008067A5" w:rsidP="008067A5">
      <w:pPr>
        <w:pStyle w:val="VIETAFLECHA"/>
        <w:numPr>
          <w:ilvl w:val="0"/>
          <w:numId w:val="0"/>
        </w:numPr>
      </w:pPr>
      <w:r>
        <w:t xml:space="preserve">Al </w:t>
      </w:r>
      <w:r w:rsidR="009455AB" w:rsidRPr="002B3F78">
        <w:rPr>
          <w:rFonts w:cs="Noto Sans"/>
          <w:szCs w:val="18"/>
        </w:rPr>
        <w:t>3</w:t>
      </w:r>
      <w:r w:rsidR="009455AB">
        <w:rPr>
          <w:rFonts w:cs="Noto Sans"/>
          <w:szCs w:val="18"/>
        </w:rPr>
        <w:t>0</w:t>
      </w:r>
      <w:r w:rsidR="009455AB" w:rsidRPr="002B3F78">
        <w:rPr>
          <w:rFonts w:cs="Noto Sans"/>
          <w:szCs w:val="18"/>
        </w:rPr>
        <w:t xml:space="preserve"> de </w:t>
      </w:r>
      <w:r w:rsidR="009455AB">
        <w:rPr>
          <w:rFonts w:cs="Noto Sans"/>
          <w:szCs w:val="18"/>
        </w:rPr>
        <w:t>junio</w:t>
      </w:r>
      <w:r w:rsidR="009455AB" w:rsidRPr="002B3F78">
        <w:rPr>
          <w:rFonts w:cs="Noto Sans"/>
          <w:szCs w:val="18"/>
        </w:rPr>
        <w:t xml:space="preserve"> </w:t>
      </w:r>
      <w:r>
        <w:t>de 202</w:t>
      </w:r>
      <w:r w:rsidR="00F86742">
        <w:t>5</w:t>
      </w:r>
      <w:r>
        <w:t xml:space="preserve"> y </w:t>
      </w:r>
      <w:r w:rsidR="007928DD">
        <w:t xml:space="preserve">31 de diciembre de </w:t>
      </w:r>
      <w:r>
        <w:t>202</w:t>
      </w:r>
      <w:r w:rsidR="00F86742">
        <w:t>4</w:t>
      </w:r>
      <w:r>
        <w:t xml:space="preserve">, el rubro de Provisiones a Corto Plazo equivale </w:t>
      </w:r>
      <w:r w:rsidRPr="00463A39">
        <w:t xml:space="preserve">a </w:t>
      </w:r>
      <w:r w:rsidR="00950735" w:rsidRPr="00463A39">
        <w:t>48</w:t>
      </w:r>
      <w:r w:rsidR="00F86742" w:rsidRPr="00463A39">
        <w:t>,</w:t>
      </w:r>
      <w:r w:rsidR="00950735" w:rsidRPr="00463A39">
        <w:t>982</w:t>
      </w:r>
      <w:r w:rsidR="00F86742" w:rsidRPr="00463A39">
        <w:t>,</w:t>
      </w:r>
      <w:r w:rsidR="00950735" w:rsidRPr="00463A39">
        <w:t>842</w:t>
      </w:r>
      <w:r w:rsidR="00F86742" w:rsidRPr="00463A39">
        <w:t>,</w:t>
      </w:r>
      <w:r w:rsidR="00596F9F" w:rsidRPr="00463A39">
        <w:t>557</w:t>
      </w:r>
      <w:r w:rsidR="00F86742" w:rsidRPr="00463A39">
        <w:t>.</w:t>
      </w:r>
      <w:r w:rsidR="00596F9F" w:rsidRPr="00463A39">
        <w:t>0</w:t>
      </w:r>
      <w:r w:rsidR="00F86742" w:rsidRPr="00463A39">
        <w:t xml:space="preserve"> </w:t>
      </w:r>
      <w:r w:rsidRPr="00463A39">
        <w:t xml:space="preserve">pesos y </w:t>
      </w:r>
      <w:r w:rsidR="00186227" w:rsidRPr="00463A39">
        <w:t>14,876,893,627.3</w:t>
      </w:r>
      <w:r w:rsidR="00186227">
        <w:t xml:space="preserve"> </w:t>
      </w:r>
      <w:r>
        <w:t>pesos, respectivamente, el cual se integra por provisiones de fondo de ahorro y aguinaldo, las cuales se realizan con base en lo estipulado en la Norma de Información Financiera Gubernamental (NIFG) 019 Provisiones, pasivos y activos contingentes, y considerando el Art. 39 de la Ley General de Contabilidad Gubernamental (LGCG), se constituyen para hacer frente a los pasivos que se generan en el ejercicio y son revisadas y ajustadas periódicamente a fin de mantener su vigencia.</w:t>
      </w:r>
    </w:p>
    <w:p w14:paraId="3041DB00" w14:textId="77777777" w:rsidR="008067A5" w:rsidRPr="008067A5" w:rsidRDefault="008067A5" w:rsidP="008067A5">
      <w:pPr>
        <w:tabs>
          <w:tab w:val="left" w:pos="11199"/>
        </w:tabs>
        <w:spacing w:after="120" w:line="250" w:lineRule="exact"/>
        <w:rPr>
          <w:rFonts w:ascii="Noto Sans" w:hAnsi="Noto Sans" w:cs="Noto Sans"/>
          <w:sz w:val="18"/>
          <w:szCs w:val="18"/>
        </w:rPr>
      </w:pPr>
    </w:p>
    <w:p w14:paraId="697B58BA" w14:textId="77777777" w:rsidR="008067A5" w:rsidRDefault="00AA27E0" w:rsidP="00D461EC">
      <w:pPr>
        <w:pStyle w:val="Prrafodelista"/>
        <w:numPr>
          <w:ilvl w:val="0"/>
          <w:numId w:val="22"/>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8067A5">
        <w:rPr>
          <w:rFonts w:ascii="Noto Sans" w:hAnsi="Noto Sans" w:cs="Noto Sans"/>
          <w:sz w:val="18"/>
          <w:szCs w:val="18"/>
        </w:rPr>
        <w:t xml:space="preserve">.4 Otros Pasivos a Corto Plazo </w:t>
      </w:r>
    </w:p>
    <w:p w14:paraId="3C07CD95" w14:textId="02832F4D" w:rsidR="008067A5" w:rsidRDefault="004C72F3" w:rsidP="008067A5">
      <w:pPr>
        <w:tabs>
          <w:tab w:val="left" w:pos="11199"/>
        </w:tabs>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 xml:space="preserve">l </w:t>
      </w:r>
      <w:r w:rsidR="00C30F13" w:rsidRPr="009B71BB">
        <w:rPr>
          <w:rFonts w:ascii="Noto Sans" w:hAnsi="Noto Sans" w:cs="Noto Sans"/>
          <w:sz w:val="18"/>
          <w:szCs w:val="18"/>
        </w:rPr>
        <w:t>30 de junio</w:t>
      </w:r>
      <w:r w:rsidR="00C30F13" w:rsidRPr="002B3F78">
        <w:rPr>
          <w:rFonts w:cs="Noto Sans"/>
          <w:szCs w:val="18"/>
        </w:rPr>
        <w:t xml:space="preserve"> </w:t>
      </w:r>
      <w:r w:rsidRPr="000F4D76">
        <w:rPr>
          <w:rFonts w:ascii="Noto Sans" w:hAnsi="Noto Sans" w:cs="Noto Sans"/>
          <w:sz w:val="18"/>
          <w:szCs w:val="18"/>
        </w:rPr>
        <w:t>de 2025 y 31 de diciembre de 2024</w:t>
      </w:r>
      <w:r w:rsidR="008067A5" w:rsidRPr="008067A5">
        <w:rPr>
          <w:rFonts w:ascii="Noto Sans" w:hAnsi="Noto Sans" w:cs="Noto Sans"/>
          <w:sz w:val="18"/>
          <w:szCs w:val="18"/>
        </w:rPr>
        <w:t>, este rubro se integra de la siguiente manera</w:t>
      </w:r>
      <w:r w:rsidR="008067A5">
        <w:rPr>
          <w:rFonts w:ascii="Noto Sans" w:hAnsi="Noto Sans" w:cs="Noto Sans"/>
          <w:sz w:val="18"/>
          <w:szCs w:val="18"/>
        </w:rPr>
        <w:t>:</w:t>
      </w:r>
    </w:p>
    <w:p w14:paraId="1266AA31" w14:textId="77777777" w:rsidR="008067A5" w:rsidRDefault="008067A5" w:rsidP="008067A5">
      <w:pPr>
        <w:tabs>
          <w:tab w:val="left" w:pos="11199"/>
        </w:tabs>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8067A5" w:rsidRPr="005946C5" w14:paraId="30D9B72A" w14:textId="77777777" w:rsidTr="00C60C18">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79BE435"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28E86E5" w14:textId="77777777" w:rsidR="008067A5" w:rsidRPr="008E629A" w:rsidRDefault="008067A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861D75" w:rsidRPr="005946C5" w14:paraId="17F56FE1" w14:textId="77777777" w:rsidTr="00C60C18">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B54940A" w14:textId="77777777" w:rsidR="00861D75"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66BFFC94" w14:textId="629DB66F" w:rsidR="00861D75"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6E499567" w14:textId="014B366B" w:rsidR="00861D75"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Pr>
                <w:rFonts w:ascii="Noto Sans" w:eastAsia="Times New Roman" w:hAnsi="Noto Sans" w:cs="Noto Sans"/>
                <w:b/>
                <w:bCs/>
                <w:color w:val="FFFFFF"/>
                <w:sz w:val="16"/>
                <w:szCs w:val="16"/>
                <w:lang w:eastAsia="es-MX"/>
              </w:rPr>
              <w:t>4</w:t>
            </w:r>
          </w:p>
        </w:tc>
      </w:tr>
      <w:tr w:rsidR="004E4364" w:rsidRPr="005946C5" w14:paraId="7E6855A8" w14:textId="77777777" w:rsidTr="00AA27E0">
        <w:trPr>
          <w:trHeight w:val="283"/>
          <w:jc w:val="center"/>
        </w:trPr>
        <w:tc>
          <w:tcPr>
            <w:tcW w:w="5475" w:type="dxa"/>
            <w:tcBorders>
              <w:top w:val="triple" w:sz="12" w:space="0" w:color="A6802D"/>
              <w:left w:val="nil"/>
              <w:bottom w:val="nil"/>
              <w:right w:val="nil"/>
            </w:tcBorders>
            <w:shd w:val="clear" w:color="000000" w:fill="F2F2F2"/>
            <w:vAlign w:val="center"/>
          </w:tcPr>
          <w:p w14:paraId="3DD1CE19" w14:textId="3B35CB15" w:rsidR="004E4364" w:rsidRPr="008067A5" w:rsidRDefault="004E4364" w:rsidP="004E436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Fondo de Beneficio para Trabajadores de la Construcción (Seguro RCV)</w:t>
            </w:r>
          </w:p>
        </w:tc>
        <w:tc>
          <w:tcPr>
            <w:tcW w:w="1960" w:type="dxa"/>
            <w:tcBorders>
              <w:top w:val="triple" w:sz="12" w:space="0" w:color="A6802D"/>
              <w:left w:val="nil"/>
              <w:bottom w:val="nil"/>
              <w:right w:val="nil"/>
            </w:tcBorders>
            <w:shd w:val="clear" w:color="000000" w:fill="F2F2F2"/>
            <w:vAlign w:val="center"/>
          </w:tcPr>
          <w:p w14:paraId="34DC7A3C" w14:textId="7DBC25FE"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4,560,242,510.4</w:t>
            </w:r>
          </w:p>
        </w:tc>
        <w:tc>
          <w:tcPr>
            <w:tcW w:w="1961" w:type="dxa"/>
            <w:tcBorders>
              <w:top w:val="triple" w:sz="12" w:space="0" w:color="A6802D"/>
              <w:left w:val="nil"/>
              <w:bottom w:val="nil"/>
              <w:right w:val="nil"/>
            </w:tcBorders>
            <w:shd w:val="clear" w:color="000000" w:fill="F2F2F2"/>
            <w:vAlign w:val="center"/>
          </w:tcPr>
          <w:p w14:paraId="094A31E2" w14:textId="45B6EA58"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4,429,532,511.4</w:t>
            </w:r>
          </w:p>
        </w:tc>
      </w:tr>
      <w:tr w:rsidR="004E4364" w:rsidRPr="00FC0913" w14:paraId="27995E82" w14:textId="77777777" w:rsidTr="00AA27E0">
        <w:trPr>
          <w:trHeight w:val="283"/>
          <w:jc w:val="center"/>
        </w:trPr>
        <w:tc>
          <w:tcPr>
            <w:tcW w:w="5475" w:type="dxa"/>
            <w:tcBorders>
              <w:top w:val="nil"/>
              <w:left w:val="nil"/>
              <w:bottom w:val="nil"/>
              <w:right w:val="nil"/>
            </w:tcBorders>
            <w:shd w:val="clear" w:color="000000" w:fill="F2F2F2"/>
            <w:vAlign w:val="center"/>
          </w:tcPr>
          <w:p w14:paraId="03AB14D5" w14:textId="2C5A0CC3" w:rsidR="004E4364" w:rsidRPr="008067A5" w:rsidRDefault="004E4364" w:rsidP="004E436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Derivados de Personal</w:t>
            </w:r>
          </w:p>
        </w:tc>
        <w:tc>
          <w:tcPr>
            <w:tcW w:w="1960" w:type="dxa"/>
            <w:tcBorders>
              <w:top w:val="nil"/>
              <w:left w:val="nil"/>
              <w:bottom w:val="nil"/>
              <w:right w:val="nil"/>
            </w:tcBorders>
            <w:shd w:val="clear" w:color="000000" w:fill="F2F2F2"/>
            <w:vAlign w:val="center"/>
          </w:tcPr>
          <w:p w14:paraId="554ADA29" w14:textId="4CE20DF6"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3,636,909,456.7</w:t>
            </w:r>
          </w:p>
        </w:tc>
        <w:tc>
          <w:tcPr>
            <w:tcW w:w="1961" w:type="dxa"/>
            <w:tcBorders>
              <w:top w:val="nil"/>
              <w:left w:val="nil"/>
              <w:bottom w:val="nil"/>
              <w:right w:val="nil"/>
            </w:tcBorders>
            <w:shd w:val="clear" w:color="000000" w:fill="F2F2F2"/>
            <w:vAlign w:val="center"/>
          </w:tcPr>
          <w:p w14:paraId="33A04C3C" w14:textId="3DA5A55A"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2,064,382,664.6</w:t>
            </w:r>
          </w:p>
        </w:tc>
      </w:tr>
      <w:tr w:rsidR="004E4364" w:rsidRPr="00FC0913" w14:paraId="72D50DB6" w14:textId="77777777" w:rsidTr="00AA27E0">
        <w:trPr>
          <w:trHeight w:val="283"/>
          <w:jc w:val="center"/>
        </w:trPr>
        <w:tc>
          <w:tcPr>
            <w:tcW w:w="5475" w:type="dxa"/>
            <w:tcBorders>
              <w:top w:val="nil"/>
              <w:left w:val="nil"/>
              <w:bottom w:val="nil"/>
              <w:right w:val="nil"/>
            </w:tcBorders>
            <w:shd w:val="clear" w:color="000000" w:fill="F2F2F2"/>
            <w:vAlign w:val="center"/>
          </w:tcPr>
          <w:p w14:paraId="41CB6A5B" w14:textId="28C94AC8" w:rsidR="004E4364" w:rsidRPr="008067A5" w:rsidRDefault="004E4364" w:rsidP="004E436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Liquidaciones </w:t>
            </w:r>
          </w:p>
        </w:tc>
        <w:tc>
          <w:tcPr>
            <w:tcW w:w="1960" w:type="dxa"/>
            <w:tcBorders>
              <w:top w:val="nil"/>
              <w:left w:val="nil"/>
              <w:bottom w:val="nil"/>
              <w:right w:val="nil"/>
            </w:tcBorders>
            <w:shd w:val="clear" w:color="000000" w:fill="F2F2F2"/>
            <w:vAlign w:val="center"/>
          </w:tcPr>
          <w:p w14:paraId="33BC09B0" w14:textId="4FCE2529"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1,092,825,832.6</w:t>
            </w:r>
          </w:p>
        </w:tc>
        <w:tc>
          <w:tcPr>
            <w:tcW w:w="1961" w:type="dxa"/>
            <w:tcBorders>
              <w:top w:val="nil"/>
              <w:left w:val="nil"/>
              <w:bottom w:val="nil"/>
              <w:right w:val="nil"/>
            </w:tcBorders>
            <w:shd w:val="clear" w:color="000000" w:fill="F2F2F2"/>
            <w:vAlign w:val="center"/>
          </w:tcPr>
          <w:p w14:paraId="4FCC7C9A" w14:textId="5F12FC6B"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1,170,758,095.9</w:t>
            </w:r>
          </w:p>
        </w:tc>
      </w:tr>
      <w:tr w:rsidR="004E4364" w:rsidRPr="00FC0913" w14:paraId="6976C2D1" w14:textId="77777777" w:rsidTr="00AA27E0">
        <w:trPr>
          <w:trHeight w:val="283"/>
          <w:jc w:val="center"/>
        </w:trPr>
        <w:tc>
          <w:tcPr>
            <w:tcW w:w="5475" w:type="dxa"/>
            <w:tcBorders>
              <w:top w:val="nil"/>
              <w:left w:val="nil"/>
              <w:bottom w:val="nil"/>
              <w:right w:val="nil"/>
            </w:tcBorders>
            <w:shd w:val="clear" w:color="000000" w:fill="F2F2F2"/>
            <w:vAlign w:val="center"/>
          </w:tcPr>
          <w:p w14:paraId="727C034A" w14:textId="70B23969" w:rsidR="004E4364" w:rsidRPr="008067A5" w:rsidRDefault="004E4364" w:rsidP="004E436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Cuotas por Asignar</w:t>
            </w:r>
          </w:p>
        </w:tc>
        <w:tc>
          <w:tcPr>
            <w:tcW w:w="1960" w:type="dxa"/>
            <w:tcBorders>
              <w:top w:val="nil"/>
              <w:left w:val="nil"/>
              <w:bottom w:val="nil"/>
              <w:right w:val="nil"/>
            </w:tcBorders>
            <w:shd w:val="clear" w:color="000000" w:fill="F2F2F2"/>
            <w:vAlign w:val="center"/>
          </w:tcPr>
          <w:p w14:paraId="1A97179C" w14:textId="38B5A80C"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1,039,597,584.9</w:t>
            </w:r>
          </w:p>
        </w:tc>
        <w:tc>
          <w:tcPr>
            <w:tcW w:w="1961" w:type="dxa"/>
            <w:tcBorders>
              <w:top w:val="nil"/>
              <w:left w:val="nil"/>
              <w:bottom w:val="nil"/>
              <w:right w:val="nil"/>
            </w:tcBorders>
            <w:shd w:val="clear" w:color="000000" w:fill="F2F2F2"/>
            <w:vAlign w:val="center"/>
          </w:tcPr>
          <w:p w14:paraId="31717A8A" w14:textId="1840BD16"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813,798,130.6</w:t>
            </w:r>
          </w:p>
        </w:tc>
      </w:tr>
      <w:tr w:rsidR="004E4364" w:rsidRPr="00FC0913" w14:paraId="1F8B7CF7" w14:textId="77777777" w:rsidTr="00AA27E0">
        <w:trPr>
          <w:trHeight w:val="283"/>
          <w:jc w:val="center"/>
        </w:trPr>
        <w:tc>
          <w:tcPr>
            <w:tcW w:w="5475" w:type="dxa"/>
            <w:tcBorders>
              <w:top w:val="nil"/>
              <w:left w:val="nil"/>
              <w:bottom w:val="nil"/>
              <w:right w:val="nil"/>
            </w:tcBorders>
            <w:shd w:val="clear" w:color="000000" w:fill="F2F2F2"/>
            <w:vAlign w:val="center"/>
          </w:tcPr>
          <w:p w14:paraId="0C1CBF18" w14:textId="2D78837A" w:rsidR="004E4364" w:rsidRPr="008067A5" w:rsidRDefault="004E4364" w:rsidP="004E436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Derivados de Prestaciones Económicas y Sociales</w:t>
            </w:r>
          </w:p>
        </w:tc>
        <w:tc>
          <w:tcPr>
            <w:tcW w:w="1960" w:type="dxa"/>
            <w:tcBorders>
              <w:top w:val="nil"/>
              <w:left w:val="nil"/>
              <w:bottom w:val="nil"/>
              <w:right w:val="nil"/>
            </w:tcBorders>
            <w:shd w:val="clear" w:color="000000" w:fill="F2F2F2"/>
            <w:vAlign w:val="center"/>
          </w:tcPr>
          <w:p w14:paraId="45DBB62A" w14:textId="1543E844"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786,059,777.1</w:t>
            </w:r>
          </w:p>
        </w:tc>
        <w:tc>
          <w:tcPr>
            <w:tcW w:w="1961" w:type="dxa"/>
            <w:tcBorders>
              <w:top w:val="nil"/>
              <w:left w:val="nil"/>
              <w:bottom w:val="nil"/>
              <w:right w:val="nil"/>
            </w:tcBorders>
            <w:shd w:val="clear" w:color="000000" w:fill="F2F2F2"/>
            <w:vAlign w:val="center"/>
          </w:tcPr>
          <w:p w14:paraId="18E836D0" w14:textId="5104AB14"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493,567,812.5</w:t>
            </w:r>
          </w:p>
        </w:tc>
      </w:tr>
      <w:tr w:rsidR="004E4364" w:rsidRPr="00FC0913" w14:paraId="1023927F" w14:textId="77777777" w:rsidTr="00AA27E0">
        <w:trPr>
          <w:trHeight w:val="283"/>
          <w:jc w:val="center"/>
        </w:trPr>
        <w:tc>
          <w:tcPr>
            <w:tcW w:w="5475" w:type="dxa"/>
            <w:tcBorders>
              <w:top w:val="nil"/>
              <w:left w:val="nil"/>
              <w:bottom w:val="nil"/>
              <w:right w:val="nil"/>
            </w:tcBorders>
            <w:shd w:val="clear" w:color="000000" w:fill="F2F2F2"/>
            <w:vAlign w:val="center"/>
          </w:tcPr>
          <w:p w14:paraId="4545DA6F" w14:textId="6DDAF683" w:rsidR="004E4364" w:rsidRPr="008067A5" w:rsidRDefault="004E4364" w:rsidP="004E436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Otros Pasivos Circulantes</w:t>
            </w:r>
          </w:p>
        </w:tc>
        <w:tc>
          <w:tcPr>
            <w:tcW w:w="1960" w:type="dxa"/>
            <w:tcBorders>
              <w:top w:val="nil"/>
              <w:left w:val="nil"/>
              <w:bottom w:val="nil"/>
              <w:right w:val="nil"/>
            </w:tcBorders>
            <w:shd w:val="clear" w:color="000000" w:fill="F2F2F2"/>
            <w:vAlign w:val="center"/>
          </w:tcPr>
          <w:p w14:paraId="23D9B1D6" w14:textId="468D7E99"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562,261,579.8</w:t>
            </w:r>
          </w:p>
        </w:tc>
        <w:tc>
          <w:tcPr>
            <w:tcW w:w="1961" w:type="dxa"/>
            <w:tcBorders>
              <w:top w:val="nil"/>
              <w:left w:val="nil"/>
              <w:bottom w:val="nil"/>
              <w:right w:val="nil"/>
            </w:tcBorders>
            <w:shd w:val="clear" w:color="000000" w:fill="F2F2F2"/>
            <w:vAlign w:val="center"/>
          </w:tcPr>
          <w:p w14:paraId="71882C97" w14:textId="304ACCA4"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245,033,542.0</w:t>
            </w:r>
          </w:p>
        </w:tc>
      </w:tr>
      <w:tr w:rsidR="004E4364" w:rsidRPr="00FC0913" w14:paraId="12FA9253" w14:textId="77777777" w:rsidTr="00AA27E0">
        <w:trPr>
          <w:trHeight w:val="283"/>
          <w:jc w:val="center"/>
        </w:trPr>
        <w:tc>
          <w:tcPr>
            <w:tcW w:w="5475" w:type="dxa"/>
            <w:tcBorders>
              <w:top w:val="nil"/>
              <w:left w:val="nil"/>
              <w:bottom w:val="nil"/>
              <w:right w:val="nil"/>
            </w:tcBorders>
            <w:shd w:val="clear" w:color="000000" w:fill="F2F2F2"/>
            <w:vAlign w:val="center"/>
          </w:tcPr>
          <w:p w14:paraId="3FB7CC82" w14:textId="5C174C9A" w:rsidR="004E4364" w:rsidRPr="008067A5" w:rsidRDefault="004E4364" w:rsidP="004E436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Acreedores por Reservaciones </w:t>
            </w:r>
          </w:p>
        </w:tc>
        <w:tc>
          <w:tcPr>
            <w:tcW w:w="1960" w:type="dxa"/>
            <w:tcBorders>
              <w:top w:val="nil"/>
              <w:left w:val="nil"/>
              <w:bottom w:val="nil"/>
              <w:right w:val="nil"/>
            </w:tcBorders>
            <w:shd w:val="clear" w:color="000000" w:fill="F2F2F2"/>
            <w:vAlign w:val="center"/>
          </w:tcPr>
          <w:p w14:paraId="092D5DD0" w14:textId="2131F786"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19,104,845.0</w:t>
            </w:r>
          </w:p>
        </w:tc>
        <w:tc>
          <w:tcPr>
            <w:tcW w:w="1961" w:type="dxa"/>
            <w:tcBorders>
              <w:top w:val="nil"/>
              <w:left w:val="nil"/>
              <w:bottom w:val="nil"/>
              <w:right w:val="nil"/>
            </w:tcBorders>
            <w:shd w:val="clear" w:color="000000" w:fill="F2F2F2"/>
            <w:vAlign w:val="center"/>
          </w:tcPr>
          <w:p w14:paraId="2C74AC16" w14:textId="6DCC5B83" w:rsidR="004E4364" w:rsidRPr="008067A5" w:rsidRDefault="004E4364" w:rsidP="004E4364">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19,197,827.3</w:t>
            </w:r>
          </w:p>
        </w:tc>
      </w:tr>
      <w:tr w:rsidR="004E4364" w:rsidRPr="005946C5" w14:paraId="3720FB37" w14:textId="77777777" w:rsidTr="00AA27E0">
        <w:trPr>
          <w:trHeight w:val="283"/>
          <w:jc w:val="center"/>
        </w:trPr>
        <w:tc>
          <w:tcPr>
            <w:tcW w:w="5475" w:type="dxa"/>
            <w:tcBorders>
              <w:top w:val="nil"/>
              <w:left w:val="nil"/>
              <w:bottom w:val="single" w:sz="12" w:space="0" w:color="A6802D"/>
              <w:right w:val="nil"/>
            </w:tcBorders>
            <w:shd w:val="clear" w:color="000000" w:fill="F2F2F2"/>
            <w:vAlign w:val="center"/>
          </w:tcPr>
          <w:p w14:paraId="31CC34D3" w14:textId="43441EE5" w:rsidR="004E4364" w:rsidRPr="008067A5" w:rsidRDefault="004E4364" w:rsidP="004E4364">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Otros Pasivos a Corto Plazo</w:t>
            </w:r>
          </w:p>
        </w:tc>
        <w:tc>
          <w:tcPr>
            <w:tcW w:w="1960" w:type="dxa"/>
            <w:tcBorders>
              <w:top w:val="nil"/>
              <w:left w:val="nil"/>
              <w:bottom w:val="single" w:sz="12" w:space="0" w:color="A6802D"/>
              <w:right w:val="nil"/>
            </w:tcBorders>
            <w:shd w:val="clear" w:color="000000" w:fill="F2F2F2"/>
            <w:vAlign w:val="center"/>
          </w:tcPr>
          <w:p w14:paraId="02133EC0" w14:textId="13A2A047" w:rsidR="004E4364" w:rsidRPr="008067A5" w:rsidRDefault="004E4364" w:rsidP="004E436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11,697,001,586.5</w:t>
            </w:r>
          </w:p>
        </w:tc>
        <w:tc>
          <w:tcPr>
            <w:tcW w:w="1961" w:type="dxa"/>
            <w:tcBorders>
              <w:top w:val="nil"/>
              <w:left w:val="nil"/>
              <w:bottom w:val="single" w:sz="12" w:space="0" w:color="A6802D"/>
              <w:right w:val="nil"/>
            </w:tcBorders>
            <w:shd w:val="clear" w:color="000000" w:fill="F2F2F2"/>
            <w:vAlign w:val="center"/>
          </w:tcPr>
          <w:p w14:paraId="375AF2CA" w14:textId="7C4AB632" w:rsidR="004E4364" w:rsidRPr="008067A5" w:rsidRDefault="004E4364" w:rsidP="004E4364">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9,236,270,584.3</w:t>
            </w:r>
          </w:p>
        </w:tc>
      </w:tr>
      <w:tr w:rsidR="008067A5" w:rsidRPr="00274555" w14:paraId="25A9A17B" w14:textId="77777777" w:rsidTr="00C60C18">
        <w:trPr>
          <w:trHeight w:val="226"/>
          <w:jc w:val="center"/>
        </w:trPr>
        <w:tc>
          <w:tcPr>
            <w:tcW w:w="5475" w:type="dxa"/>
            <w:tcBorders>
              <w:top w:val="single" w:sz="12" w:space="0" w:color="A6802D"/>
              <w:left w:val="nil"/>
              <w:right w:val="nil"/>
            </w:tcBorders>
            <w:vAlign w:val="center"/>
          </w:tcPr>
          <w:p w14:paraId="07523092" w14:textId="77777777" w:rsidR="008067A5" w:rsidRPr="00274555" w:rsidRDefault="008067A5" w:rsidP="00C60C18">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771DFE5E"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54B4583B" w14:textId="77777777" w:rsidR="008067A5" w:rsidRPr="00274555" w:rsidRDefault="008067A5" w:rsidP="00C60C18">
            <w:pPr>
              <w:spacing w:after="0" w:line="240" w:lineRule="auto"/>
              <w:jc w:val="both"/>
              <w:rPr>
                <w:rFonts w:ascii="Noto Sans" w:eastAsia="Times New Roman" w:hAnsi="Noto Sans" w:cs="Noto Sans"/>
                <w:b/>
                <w:bCs/>
                <w:color w:val="000000"/>
                <w:sz w:val="14"/>
                <w:szCs w:val="14"/>
                <w:lang w:eastAsia="es-MX"/>
              </w:rPr>
            </w:pPr>
          </w:p>
        </w:tc>
      </w:tr>
    </w:tbl>
    <w:p w14:paraId="77A4C18C" w14:textId="77777777" w:rsidR="008067A5" w:rsidRDefault="008067A5" w:rsidP="008067A5">
      <w:pPr>
        <w:tabs>
          <w:tab w:val="left" w:pos="11199"/>
        </w:tabs>
        <w:spacing w:after="120" w:line="250" w:lineRule="exact"/>
        <w:rPr>
          <w:rFonts w:ascii="Noto Sans" w:hAnsi="Noto Sans" w:cs="Noto Sans"/>
          <w:sz w:val="18"/>
          <w:szCs w:val="18"/>
        </w:rPr>
      </w:pPr>
    </w:p>
    <w:p w14:paraId="3A7A8845" w14:textId="77777777" w:rsidR="00792DE8" w:rsidRDefault="00792DE8" w:rsidP="008067A5">
      <w:pPr>
        <w:tabs>
          <w:tab w:val="left" w:pos="11199"/>
        </w:tabs>
        <w:spacing w:after="120" w:line="250" w:lineRule="exact"/>
        <w:rPr>
          <w:rFonts w:ascii="Noto Sans" w:hAnsi="Noto Sans" w:cs="Noto Sans"/>
          <w:sz w:val="18"/>
          <w:szCs w:val="18"/>
        </w:rPr>
      </w:pPr>
    </w:p>
    <w:p w14:paraId="39AF29BD" w14:textId="77777777" w:rsidR="00637134" w:rsidRDefault="00637134" w:rsidP="008067A5">
      <w:pPr>
        <w:tabs>
          <w:tab w:val="left" w:pos="11199"/>
        </w:tabs>
        <w:spacing w:after="120" w:line="250" w:lineRule="exact"/>
        <w:rPr>
          <w:rFonts w:ascii="Noto Sans" w:hAnsi="Noto Sans" w:cs="Noto Sans"/>
          <w:sz w:val="18"/>
          <w:szCs w:val="18"/>
        </w:rPr>
      </w:pPr>
    </w:p>
    <w:p w14:paraId="49776104" w14:textId="77777777" w:rsidR="00637134" w:rsidRDefault="00637134" w:rsidP="008067A5">
      <w:pPr>
        <w:tabs>
          <w:tab w:val="left" w:pos="11199"/>
        </w:tabs>
        <w:spacing w:after="120" w:line="250" w:lineRule="exact"/>
        <w:rPr>
          <w:rFonts w:ascii="Noto Sans" w:hAnsi="Noto Sans" w:cs="Noto Sans"/>
          <w:sz w:val="18"/>
          <w:szCs w:val="18"/>
        </w:rPr>
      </w:pPr>
    </w:p>
    <w:p w14:paraId="1DC4062A" w14:textId="77777777" w:rsidR="00637134" w:rsidRDefault="00637134" w:rsidP="008067A5">
      <w:pPr>
        <w:tabs>
          <w:tab w:val="left" w:pos="11199"/>
        </w:tabs>
        <w:spacing w:after="120" w:line="250" w:lineRule="exact"/>
        <w:rPr>
          <w:rFonts w:ascii="Noto Sans" w:hAnsi="Noto Sans" w:cs="Noto Sans"/>
          <w:sz w:val="18"/>
          <w:szCs w:val="18"/>
        </w:rPr>
      </w:pPr>
    </w:p>
    <w:p w14:paraId="541FB9B6" w14:textId="77777777" w:rsidR="00637134" w:rsidRDefault="00637134" w:rsidP="008067A5">
      <w:pPr>
        <w:tabs>
          <w:tab w:val="left" w:pos="11199"/>
        </w:tabs>
        <w:spacing w:after="120" w:line="250" w:lineRule="exact"/>
        <w:rPr>
          <w:rFonts w:ascii="Noto Sans" w:hAnsi="Noto Sans" w:cs="Noto Sans"/>
          <w:sz w:val="18"/>
          <w:szCs w:val="18"/>
        </w:rPr>
      </w:pPr>
    </w:p>
    <w:p w14:paraId="6B8E9BAD" w14:textId="77777777" w:rsidR="00637134" w:rsidRDefault="00637134" w:rsidP="008067A5">
      <w:pPr>
        <w:tabs>
          <w:tab w:val="left" w:pos="11199"/>
        </w:tabs>
        <w:spacing w:after="120" w:line="250" w:lineRule="exact"/>
        <w:rPr>
          <w:rFonts w:ascii="Noto Sans" w:hAnsi="Noto Sans" w:cs="Noto Sans"/>
          <w:sz w:val="18"/>
          <w:szCs w:val="18"/>
        </w:rPr>
      </w:pPr>
    </w:p>
    <w:p w14:paraId="1C9CF4F1" w14:textId="77777777" w:rsidR="00637134" w:rsidRPr="008067A5" w:rsidRDefault="00637134" w:rsidP="008067A5">
      <w:pPr>
        <w:tabs>
          <w:tab w:val="left" w:pos="11199"/>
        </w:tabs>
        <w:spacing w:after="120" w:line="250" w:lineRule="exact"/>
        <w:rPr>
          <w:rFonts w:ascii="Noto Sans" w:hAnsi="Noto Sans" w:cs="Noto Sans"/>
          <w:sz w:val="18"/>
          <w:szCs w:val="18"/>
        </w:rPr>
      </w:pPr>
    </w:p>
    <w:p w14:paraId="06A21E36" w14:textId="77777777" w:rsidR="00AC36C2" w:rsidRDefault="00AC36C2" w:rsidP="00AC36C2">
      <w:pPr>
        <w:pStyle w:val="SUBTITULO2"/>
        <w:rPr>
          <w:rFonts w:ascii="Noto Sans" w:hAnsi="Noto Sans" w:cs="Noto Sans"/>
        </w:rPr>
      </w:pPr>
      <w:r>
        <w:rPr>
          <w:rFonts w:ascii="Noto Sans" w:hAnsi="Noto Sans" w:cs="Noto Sans"/>
        </w:rPr>
        <w:lastRenderedPageBreak/>
        <w:t>PASI</w:t>
      </w:r>
      <w:r w:rsidRPr="00E70EB0">
        <w:rPr>
          <w:rFonts w:ascii="Noto Sans" w:hAnsi="Noto Sans" w:cs="Noto Sans"/>
        </w:rPr>
        <w:t>vo</w:t>
      </w:r>
      <w:r>
        <w:rPr>
          <w:rFonts w:ascii="Noto Sans" w:hAnsi="Noto Sans" w:cs="Noto Sans"/>
        </w:rPr>
        <w:t xml:space="preserve"> NO</w:t>
      </w:r>
      <w:r w:rsidRPr="00E70EB0">
        <w:rPr>
          <w:rFonts w:ascii="Noto Sans" w:hAnsi="Noto Sans" w:cs="Noto Sans"/>
        </w:rPr>
        <w:t xml:space="preserve"> circulante</w:t>
      </w:r>
    </w:p>
    <w:p w14:paraId="146DA4F5" w14:textId="77777777" w:rsidR="00AC36C2" w:rsidRPr="00AC36C2" w:rsidRDefault="00AC36C2" w:rsidP="00AC36C2">
      <w:pPr>
        <w:pStyle w:val="TEXTONORMAL"/>
      </w:pPr>
    </w:p>
    <w:p w14:paraId="4D5E0C57" w14:textId="77777777" w:rsidR="00AC36C2" w:rsidRDefault="00AA27E0" w:rsidP="00D461EC">
      <w:pPr>
        <w:pStyle w:val="Prrafodelista"/>
        <w:numPr>
          <w:ilvl w:val="0"/>
          <w:numId w:val="22"/>
        </w:numPr>
        <w:tabs>
          <w:tab w:val="left" w:pos="11199"/>
        </w:tabs>
        <w:spacing w:after="120" w:line="250" w:lineRule="exact"/>
        <w:ind w:left="357" w:hanging="357"/>
        <w:rPr>
          <w:rFonts w:ascii="Noto Sans" w:hAnsi="Noto Sans" w:cs="Noto Sans"/>
          <w:sz w:val="18"/>
          <w:szCs w:val="18"/>
        </w:rPr>
      </w:pPr>
      <w:r>
        <w:rPr>
          <w:rFonts w:ascii="Noto Sans" w:hAnsi="Noto Sans" w:cs="Noto Sans"/>
          <w:sz w:val="18"/>
          <w:szCs w:val="18"/>
        </w:rPr>
        <w:t>4</w:t>
      </w:r>
      <w:r w:rsidR="00AC36C2">
        <w:rPr>
          <w:rFonts w:ascii="Noto Sans" w:hAnsi="Noto Sans" w:cs="Noto Sans"/>
          <w:sz w:val="18"/>
          <w:szCs w:val="18"/>
        </w:rPr>
        <w:t xml:space="preserve">.5 </w:t>
      </w:r>
      <w:r w:rsidR="00AC36C2" w:rsidRPr="00AC36C2">
        <w:rPr>
          <w:rFonts w:ascii="Noto Sans" w:hAnsi="Noto Sans" w:cs="Noto Sans"/>
          <w:sz w:val="18"/>
          <w:szCs w:val="18"/>
        </w:rPr>
        <w:t>Fondos y Bienes de Terceros en Garantía y/o Administración a Largo Plazo</w:t>
      </w:r>
    </w:p>
    <w:p w14:paraId="2C0C4E6F" w14:textId="6140177D" w:rsidR="002D5A9A" w:rsidRDefault="004C72F3" w:rsidP="002D5A9A">
      <w:pPr>
        <w:tabs>
          <w:tab w:val="left" w:pos="11199"/>
        </w:tabs>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l 3</w:t>
      </w:r>
      <w:r w:rsidR="00C244EF">
        <w:rPr>
          <w:rFonts w:ascii="Noto Sans" w:hAnsi="Noto Sans" w:cs="Noto Sans"/>
          <w:sz w:val="18"/>
          <w:szCs w:val="18"/>
        </w:rPr>
        <w:t>0</w:t>
      </w:r>
      <w:r w:rsidRPr="000F4D76">
        <w:rPr>
          <w:rFonts w:ascii="Noto Sans" w:hAnsi="Noto Sans" w:cs="Noto Sans"/>
          <w:sz w:val="18"/>
          <w:szCs w:val="18"/>
        </w:rPr>
        <w:t xml:space="preserve"> de </w:t>
      </w:r>
      <w:r w:rsidR="00C244EF">
        <w:rPr>
          <w:rFonts w:ascii="Noto Sans" w:hAnsi="Noto Sans" w:cs="Noto Sans"/>
          <w:sz w:val="18"/>
          <w:szCs w:val="18"/>
        </w:rPr>
        <w:t>junio</w:t>
      </w:r>
      <w:r w:rsidRPr="000F4D76">
        <w:rPr>
          <w:rFonts w:ascii="Noto Sans" w:hAnsi="Noto Sans" w:cs="Noto Sans"/>
          <w:sz w:val="18"/>
          <w:szCs w:val="18"/>
        </w:rPr>
        <w:t xml:space="preserve"> de 2025 y 31 de diciembre de 2024</w:t>
      </w:r>
      <w:r w:rsidR="002D5A9A" w:rsidRPr="002D5A9A">
        <w:rPr>
          <w:rFonts w:ascii="Noto Sans" w:hAnsi="Noto Sans" w:cs="Noto Sans"/>
          <w:sz w:val="18"/>
          <w:szCs w:val="18"/>
        </w:rPr>
        <w:t xml:space="preserve">, el rubro de Fondos y Bienes de Terceros en Garantía y/o Administración a Largo Plazo equivale a </w:t>
      </w:r>
      <w:r w:rsidR="00864F04" w:rsidRPr="00864F04">
        <w:rPr>
          <w:rFonts w:ascii="Noto Sans" w:hAnsi="Noto Sans" w:cs="Noto Sans"/>
          <w:sz w:val="18"/>
          <w:szCs w:val="18"/>
        </w:rPr>
        <w:t>1</w:t>
      </w:r>
      <w:r w:rsidR="0045653C">
        <w:rPr>
          <w:rFonts w:ascii="Noto Sans" w:hAnsi="Noto Sans" w:cs="Noto Sans"/>
          <w:sz w:val="18"/>
          <w:szCs w:val="18"/>
        </w:rPr>
        <w:t>74</w:t>
      </w:r>
      <w:r w:rsidR="00864F04" w:rsidRPr="00864F04">
        <w:rPr>
          <w:rFonts w:ascii="Noto Sans" w:hAnsi="Noto Sans" w:cs="Noto Sans"/>
          <w:sz w:val="18"/>
          <w:szCs w:val="18"/>
        </w:rPr>
        <w:t>,</w:t>
      </w:r>
      <w:r w:rsidR="0045653C">
        <w:rPr>
          <w:rFonts w:ascii="Noto Sans" w:hAnsi="Noto Sans" w:cs="Noto Sans"/>
          <w:sz w:val="18"/>
          <w:szCs w:val="18"/>
        </w:rPr>
        <w:t>017</w:t>
      </w:r>
      <w:r w:rsidR="00864F04" w:rsidRPr="00864F04">
        <w:rPr>
          <w:rFonts w:ascii="Noto Sans" w:hAnsi="Noto Sans" w:cs="Noto Sans"/>
          <w:sz w:val="18"/>
          <w:szCs w:val="18"/>
        </w:rPr>
        <w:t>,</w:t>
      </w:r>
      <w:r w:rsidR="0045653C">
        <w:rPr>
          <w:rFonts w:ascii="Noto Sans" w:hAnsi="Noto Sans" w:cs="Noto Sans"/>
          <w:sz w:val="18"/>
          <w:szCs w:val="18"/>
        </w:rPr>
        <w:t>475</w:t>
      </w:r>
      <w:r w:rsidR="00864F04" w:rsidRPr="00864F04">
        <w:rPr>
          <w:rFonts w:ascii="Noto Sans" w:hAnsi="Noto Sans" w:cs="Noto Sans"/>
          <w:sz w:val="18"/>
          <w:szCs w:val="18"/>
        </w:rPr>
        <w:t>,</w:t>
      </w:r>
      <w:r w:rsidR="0045653C">
        <w:rPr>
          <w:rFonts w:ascii="Noto Sans" w:hAnsi="Noto Sans" w:cs="Noto Sans"/>
          <w:sz w:val="18"/>
          <w:szCs w:val="18"/>
        </w:rPr>
        <w:t>271</w:t>
      </w:r>
      <w:r w:rsidR="00864F04" w:rsidRPr="00864F04">
        <w:rPr>
          <w:rFonts w:ascii="Noto Sans" w:hAnsi="Noto Sans" w:cs="Noto Sans"/>
          <w:sz w:val="18"/>
          <w:szCs w:val="18"/>
        </w:rPr>
        <w:t>.</w:t>
      </w:r>
      <w:r w:rsidR="0045653C">
        <w:rPr>
          <w:rFonts w:ascii="Noto Sans" w:hAnsi="Noto Sans" w:cs="Noto Sans"/>
          <w:sz w:val="18"/>
          <w:szCs w:val="18"/>
        </w:rPr>
        <w:t>1</w:t>
      </w:r>
      <w:r w:rsidR="00864F04">
        <w:rPr>
          <w:rFonts w:ascii="Noto Sans" w:hAnsi="Noto Sans" w:cs="Noto Sans"/>
          <w:sz w:val="18"/>
          <w:szCs w:val="18"/>
        </w:rPr>
        <w:t xml:space="preserve"> </w:t>
      </w:r>
      <w:r w:rsidR="002D5A9A" w:rsidRPr="002D5A9A">
        <w:rPr>
          <w:rFonts w:ascii="Noto Sans" w:hAnsi="Noto Sans" w:cs="Noto Sans"/>
          <w:sz w:val="18"/>
          <w:szCs w:val="18"/>
        </w:rPr>
        <w:t xml:space="preserve">pesos y </w:t>
      </w:r>
      <w:r w:rsidR="00864F04" w:rsidRPr="002D5A9A">
        <w:rPr>
          <w:rFonts w:ascii="Noto Sans" w:hAnsi="Noto Sans" w:cs="Noto Sans"/>
          <w:sz w:val="18"/>
          <w:szCs w:val="18"/>
        </w:rPr>
        <w:t xml:space="preserve">165,887,118,427.0 </w:t>
      </w:r>
      <w:r w:rsidR="002D5A9A" w:rsidRPr="002D5A9A">
        <w:rPr>
          <w:rFonts w:ascii="Noto Sans" w:hAnsi="Noto Sans" w:cs="Noto Sans"/>
          <w:sz w:val="18"/>
          <w:szCs w:val="18"/>
        </w:rPr>
        <w:t xml:space="preserve">pesos, respectivamente, el cual se integra por la Subcuenta 1 (RJPS1) y la Subcuenta 2 (RJPS2) constituidos para hacer frente a los pasivos laborales del Instituto en su carácter de patrón. (Ver nota </w:t>
      </w:r>
      <w:r w:rsidR="009A2B47">
        <w:rPr>
          <w:rFonts w:ascii="Noto Sans" w:hAnsi="Noto Sans" w:cs="Noto Sans"/>
          <w:sz w:val="18"/>
          <w:szCs w:val="18"/>
        </w:rPr>
        <w:t>3</w:t>
      </w:r>
      <w:r w:rsidR="002D5A9A" w:rsidRPr="002D5A9A">
        <w:rPr>
          <w:rFonts w:ascii="Noto Sans" w:hAnsi="Noto Sans" w:cs="Noto Sans"/>
          <w:sz w:val="18"/>
          <w:szCs w:val="18"/>
        </w:rPr>
        <w:t>.7)</w:t>
      </w:r>
    </w:p>
    <w:p w14:paraId="6F29B038" w14:textId="77777777" w:rsidR="002D5A9A" w:rsidRPr="002D5A9A" w:rsidRDefault="002D5A9A" w:rsidP="002D5A9A">
      <w:pPr>
        <w:tabs>
          <w:tab w:val="left" w:pos="11199"/>
        </w:tabs>
        <w:spacing w:after="120" w:line="250" w:lineRule="exact"/>
        <w:rPr>
          <w:rFonts w:ascii="Noto Sans" w:hAnsi="Noto Sans" w:cs="Noto Sans"/>
          <w:sz w:val="18"/>
          <w:szCs w:val="18"/>
        </w:rPr>
      </w:pPr>
    </w:p>
    <w:p w14:paraId="2D5A4184" w14:textId="77777777" w:rsidR="002D5A9A" w:rsidRDefault="00AA27E0" w:rsidP="00D461EC">
      <w:pPr>
        <w:pStyle w:val="Prrafodelista"/>
        <w:numPr>
          <w:ilvl w:val="0"/>
          <w:numId w:val="22"/>
        </w:numPr>
        <w:spacing w:after="120" w:line="250" w:lineRule="exact"/>
        <w:ind w:left="357" w:hanging="357"/>
        <w:rPr>
          <w:rFonts w:ascii="Noto Sans" w:hAnsi="Noto Sans" w:cs="Noto Sans"/>
          <w:sz w:val="18"/>
          <w:szCs w:val="18"/>
        </w:rPr>
      </w:pPr>
      <w:r>
        <w:rPr>
          <w:rFonts w:ascii="Noto Sans" w:hAnsi="Noto Sans" w:cs="Noto Sans"/>
          <w:sz w:val="18"/>
          <w:szCs w:val="18"/>
        </w:rPr>
        <w:t>4</w:t>
      </w:r>
      <w:r w:rsidR="002D5A9A">
        <w:rPr>
          <w:rFonts w:ascii="Noto Sans" w:hAnsi="Noto Sans" w:cs="Noto Sans"/>
          <w:sz w:val="18"/>
          <w:szCs w:val="18"/>
        </w:rPr>
        <w:t xml:space="preserve">.6 </w:t>
      </w:r>
      <w:r w:rsidR="002D5A9A" w:rsidRPr="002D5A9A">
        <w:rPr>
          <w:rFonts w:ascii="Noto Sans" w:hAnsi="Noto Sans" w:cs="Noto Sans"/>
          <w:sz w:val="18"/>
          <w:szCs w:val="18"/>
        </w:rPr>
        <w:t>Provisiones a Largo Plazo</w:t>
      </w:r>
    </w:p>
    <w:p w14:paraId="7A903174" w14:textId="362022D3" w:rsidR="002D5A9A" w:rsidRDefault="004C72F3" w:rsidP="002D5A9A">
      <w:pPr>
        <w:spacing w:after="120" w:line="250" w:lineRule="exact"/>
        <w:rPr>
          <w:rFonts w:ascii="Noto Sans" w:hAnsi="Noto Sans" w:cs="Noto Sans"/>
          <w:sz w:val="18"/>
          <w:szCs w:val="18"/>
        </w:rPr>
      </w:pPr>
      <w:r w:rsidRPr="004C72F3">
        <w:rPr>
          <w:rFonts w:ascii="Noto Sans" w:hAnsi="Noto Sans" w:cs="Noto Sans"/>
          <w:sz w:val="18"/>
          <w:szCs w:val="18"/>
        </w:rPr>
        <w:t>A</w:t>
      </w:r>
      <w:r w:rsidRPr="000F4D76">
        <w:rPr>
          <w:rFonts w:ascii="Noto Sans" w:hAnsi="Noto Sans" w:cs="Noto Sans"/>
          <w:sz w:val="18"/>
          <w:szCs w:val="18"/>
        </w:rPr>
        <w:t xml:space="preserve">l </w:t>
      </w:r>
      <w:r w:rsidR="00D8524D" w:rsidRPr="006D2597">
        <w:rPr>
          <w:rFonts w:ascii="Noto Sans" w:hAnsi="Noto Sans" w:cs="Noto Sans"/>
          <w:sz w:val="18"/>
          <w:szCs w:val="18"/>
        </w:rPr>
        <w:t xml:space="preserve">30 de junio </w:t>
      </w:r>
      <w:r w:rsidRPr="000F4D76">
        <w:rPr>
          <w:rFonts w:ascii="Noto Sans" w:hAnsi="Noto Sans" w:cs="Noto Sans"/>
          <w:sz w:val="18"/>
          <w:szCs w:val="18"/>
        </w:rPr>
        <w:t>de 2025 y 31 de diciembre de 2024</w:t>
      </w:r>
      <w:r w:rsidR="002D5A9A" w:rsidRPr="002D5A9A">
        <w:rPr>
          <w:rFonts w:ascii="Noto Sans" w:hAnsi="Noto Sans" w:cs="Noto Sans"/>
          <w:sz w:val="18"/>
          <w:szCs w:val="18"/>
        </w:rPr>
        <w:t>, este rubro se integra de la siguiente manera:</w:t>
      </w:r>
    </w:p>
    <w:p w14:paraId="08C61A71" w14:textId="77777777" w:rsidR="00AA27E0" w:rsidRPr="002D5A9A" w:rsidRDefault="00AA27E0" w:rsidP="002D5A9A">
      <w:pPr>
        <w:spacing w:after="120" w:line="250" w:lineRule="exact"/>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2D5A9A" w:rsidRPr="005946C5" w14:paraId="64657FBF" w14:textId="77777777" w:rsidTr="00C60C18">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32F118B9" w14:textId="77777777" w:rsidR="002D5A9A" w:rsidRPr="008E629A" w:rsidRDefault="002D5A9A"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664E4978" w14:textId="77777777" w:rsidR="002D5A9A" w:rsidRPr="008E629A" w:rsidRDefault="002D5A9A" w:rsidP="00C60C1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2D5A9A" w:rsidRPr="005946C5" w14:paraId="30B8C214" w14:textId="77777777" w:rsidTr="00C60C18">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24E2A598" w14:textId="77777777" w:rsidR="002D5A9A" w:rsidRPr="008E629A" w:rsidRDefault="002D5A9A" w:rsidP="00C60C18">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25F77E94" w14:textId="08FC164C" w:rsidR="002D5A9A" w:rsidRPr="008E629A" w:rsidRDefault="00861D75" w:rsidP="00C60C1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2BFBCBF" w14:textId="1A7149A7" w:rsidR="002D5A9A" w:rsidRPr="008E629A" w:rsidRDefault="002D5A9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8E6FB2" w:rsidRPr="005946C5" w14:paraId="5C64538D" w14:textId="77777777" w:rsidTr="00AA27E0">
        <w:trPr>
          <w:trHeight w:val="283"/>
          <w:jc w:val="center"/>
        </w:trPr>
        <w:tc>
          <w:tcPr>
            <w:tcW w:w="5475" w:type="dxa"/>
            <w:tcBorders>
              <w:top w:val="triple" w:sz="12" w:space="0" w:color="A6802D"/>
              <w:left w:val="nil"/>
              <w:bottom w:val="nil"/>
              <w:right w:val="nil"/>
            </w:tcBorders>
            <w:shd w:val="clear" w:color="000000" w:fill="F2F2F2"/>
            <w:vAlign w:val="center"/>
          </w:tcPr>
          <w:p w14:paraId="3AFA592D" w14:textId="46F04EDD" w:rsidR="008E6FB2" w:rsidRPr="00AA27E0" w:rsidRDefault="008E6FB2" w:rsidP="008E6FB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Reservas Financieras </w:t>
            </w:r>
            <w:r>
              <w:rPr>
                <w:rFonts w:ascii="Noto Sans" w:hAnsi="Noto Sans" w:cs="Noto Sans"/>
                <w:b/>
                <w:bCs/>
                <w:color w:val="000000"/>
                <w:sz w:val="15"/>
                <w:szCs w:val="15"/>
              </w:rPr>
              <w:t>(4.6.a)</w:t>
            </w:r>
          </w:p>
        </w:tc>
        <w:tc>
          <w:tcPr>
            <w:tcW w:w="1960" w:type="dxa"/>
            <w:tcBorders>
              <w:top w:val="triple" w:sz="12" w:space="0" w:color="A6802D"/>
              <w:left w:val="nil"/>
              <w:bottom w:val="nil"/>
              <w:right w:val="nil"/>
            </w:tcBorders>
            <w:shd w:val="clear" w:color="000000" w:fill="F2F2F2"/>
            <w:vAlign w:val="center"/>
          </w:tcPr>
          <w:p w14:paraId="313BDA02" w14:textId="1D79C099" w:rsidR="008E6FB2" w:rsidRPr="00AA27E0" w:rsidRDefault="008E6FB2" w:rsidP="008E6FB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326,017,458,253.</w:t>
            </w:r>
            <w:r w:rsidR="006D2597">
              <w:rPr>
                <w:rFonts w:ascii="Noto Sans" w:hAnsi="Noto Sans" w:cs="Noto Sans"/>
                <w:color w:val="000000"/>
                <w:sz w:val="15"/>
                <w:szCs w:val="15"/>
              </w:rPr>
              <w:t>3</w:t>
            </w:r>
            <w:r>
              <w:rPr>
                <w:rFonts w:ascii="Noto Sans" w:hAnsi="Noto Sans" w:cs="Noto Sans"/>
                <w:color w:val="000000"/>
                <w:sz w:val="15"/>
                <w:szCs w:val="15"/>
              </w:rPr>
              <w:t xml:space="preserve"> </w:t>
            </w:r>
          </w:p>
        </w:tc>
        <w:tc>
          <w:tcPr>
            <w:tcW w:w="1961" w:type="dxa"/>
            <w:tcBorders>
              <w:top w:val="triple" w:sz="12" w:space="0" w:color="A6802D"/>
              <w:left w:val="nil"/>
              <w:bottom w:val="nil"/>
              <w:right w:val="nil"/>
            </w:tcBorders>
            <w:shd w:val="clear" w:color="000000" w:fill="F2F2F2"/>
            <w:vAlign w:val="center"/>
          </w:tcPr>
          <w:p w14:paraId="60273D37" w14:textId="2DA0778A" w:rsidR="008E6FB2" w:rsidRPr="00AA27E0" w:rsidRDefault="008E6FB2" w:rsidP="008E6FB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297,439,206,611.9</w:t>
            </w:r>
          </w:p>
        </w:tc>
      </w:tr>
      <w:tr w:rsidR="008E6FB2" w:rsidRPr="00FC0913" w14:paraId="10940A65" w14:textId="77777777" w:rsidTr="00AA27E0">
        <w:trPr>
          <w:trHeight w:val="283"/>
          <w:jc w:val="center"/>
        </w:trPr>
        <w:tc>
          <w:tcPr>
            <w:tcW w:w="5475" w:type="dxa"/>
            <w:tcBorders>
              <w:top w:val="nil"/>
              <w:left w:val="nil"/>
              <w:bottom w:val="nil"/>
              <w:right w:val="nil"/>
            </w:tcBorders>
            <w:shd w:val="clear" w:color="000000" w:fill="F2F2F2"/>
            <w:vAlign w:val="center"/>
          </w:tcPr>
          <w:p w14:paraId="0FE629A2" w14:textId="735E64BF" w:rsidR="008E6FB2" w:rsidRPr="00AA27E0" w:rsidRDefault="008E6FB2" w:rsidP="008E6FB2">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Obligaciones Contractuales </w:t>
            </w:r>
          </w:p>
        </w:tc>
        <w:tc>
          <w:tcPr>
            <w:tcW w:w="1960" w:type="dxa"/>
            <w:tcBorders>
              <w:top w:val="nil"/>
              <w:left w:val="nil"/>
              <w:bottom w:val="nil"/>
              <w:right w:val="nil"/>
            </w:tcBorders>
            <w:shd w:val="clear" w:color="000000" w:fill="F2F2F2"/>
            <w:vAlign w:val="center"/>
          </w:tcPr>
          <w:p w14:paraId="0BD7E46D" w14:textId="7E8F2072" w:rsidR="008E6FB2" w:rsidRPr="00AA27E0" w:rsidRDefault="008E6FB2" w:rsidP="008E6FB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 xml:space="preserve">                68,758,861,107.4 </w:t>
            </w:r>
          </w:p>
        </w:tc>
        <w:tc>
          <w:tcPr>
            <w:tcW w:w="1961" w:type="dxa"/>
            <w:tcBorders>
              <w:top w:val="nil"/>
              <w:left w:val="nil"/>
              <w:bottom w:val="nil"/>
              <w:right w:val="nil"/>
            </w:tcBorders>
            <w:shd w:val="clear" w:color="000000" w:fill="F2F2F2"/>
            <w:vAlign w:val="center"/>
          </w:tcPr>
          <w:p w14:paraId="7462E264" w14:textId="4686EFE1" w:rsidR="008E6FB2" w:rsidRPr="00AA27E0" w:rsidRDefault="008E6FB2" w:rsidP="008E6FB2">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69,353,104,043.5</w:t>
            </w:r>
          </w:p>
        </w:tc>
      </w:tr>
      <w:tr w:rsidR="003B0195" w:rsidRPr="005946C5" w14:paraId="64CF7227" w14:textId="77777777" w:rsidTr="00AA27E0">
        <w:trPr>
          <w:trHeight w:val="283"/>
          <w:jc w:val="center"/>
        </w:trPr>
        <w:tc>
          <w:tcPr>
            <w:tcW w:w="5475" w:type="dxa"/>
            <w:tcBorders>
              <w:top w:val="nil"/>
              <w:left w:val="nil"/>
              <w:bottom w:val="single" w:sz="12" w:space="0" w:color="A6802D"/>
              <w:right w:val="nil"/>
            </w:tcBorders>
            <w:shd w:val="clear" w:color="000000" w:fill="F2F2F2"/>
            <w:vAlign w:val="center"/>
          </w:tcPr>
          <w:p w14:paraId="1A5F861B" w14:textId="333A9BF9" w:rsidR="003B0195" w:rsidRPr="00AA27E0" w:rsidRDefault="003B0195">
            <w:pPr>
              <w:spacing w:after="0" w:line="240" w:lineRule="auto"/>
              <w:jc w:val="both"/>
              <w:rPr>
                <w:rFonts w:ascii="Noto Sans" w:eastAsia="Times New Roman" w:hAnsi="Noto Sans" w:cs="Noto Sans"/>
                <w:b/>
                <w:bCs/>
                <w:color w:val="000000"/>
                <w:sz w:val="15"/>
                <w:szCs w:val="15"/>
                <w:lang w:eastAsia="es-MX"/>
              </w:rPr>
            </w:pPr>
            <w:proofErr w:type="gramStart"/>
            <w:r>
              <w:rPr>
                <w:rFonts w:ascii="Noto Sans" w:hAnsi="Noto Sans" w:cs="Noto Sans"/>
                <w:b/>
                <w:bCs/>
                <w:color w:val="000000"/>
                <w:sz w:val="15"/>
                <w:szCs w:val="15"/>
              </w:rPr>
              <w:t>Total</w:t>
            </w:r>
            <w:proofErr w:type="gramEnd"/>
            <w:r>
              <w:rPr>
                <w:rFonts w:ascii="Noto Sans" w:hAnsi="Noto Sans" w:cs="Noto Sans"/>
                <w:b/>
                <w:bCs/>
                <w:color w:val="000000"/>
                <w:sz w:val="15"/>
                <w:szCs w:val="15"/>
              </w:rPr>
              <w:t xml:space="preserve"> Provisiones a Largo Plazo</w:t>
            </w:r>
          </w:p>
        </w:tc>
        <w:tc>
          <w:tcPr>
            <w:tcW w:w="1960" w:type="dxa"/>
            <w:tcBorders>
              <w:top w:val="nil"/>
              <w:left w:val="nil"/>
              <w:bottom w:val="single" w:sz="12" w:space="0" w:color="A6802D"/>
              <w:right w:val="nil"/>
            </w:tcBorders>
            <w:shd w:val="clear" w:color="000000" w:fill="F2F2F2"/>
            <w:vAlign w:val="center"/>
          </w:tcPr>
          <w:p w14:paraId="5DA8833D" w14:textId="0BAB06AE" w:rsidR="003B0195" w:rsidRPr="00AA27E0" w:rsidRDefault="008F7DD9">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394,776,319,360.</w:t>
            </w:r>
            <w:r w:rsidR="006D2597">
              <w:rPr>
                <w:rFonts w:ascii="Noto Sans" w:hAnsi="Noto Sans" w:cs="Noto Sans"/>
                <w:b/>
                <w:bCs/>
                <w:color w:val="000000"/>
                <w:sz w:val="15"/>
                <w:szCs w:val="15"/>
              </w:rPr>
              <w:t>7</w:t>
            </w:r>
          </w:p>
        </w:tc>
        <w:tc>
          <w:tcPr>
            <w:tcW w:w="1961" w:type="dxa"/>
            <w:tcBorders>
              <w:top w:val="nil"/>
              <w:left w:val="nil"/>
              <w:bottom w:val="single" w:sz="12" w:space="0" w:color="A6802D"/>
              <w:right w:val="nil"/>
            </w:tcBorders>
            <w:shd w:val="clear" w:color="000000" w:fill="F2F2F2"/>
            <w:vAlign w:val="center"/>
          </w:tcPr>
          <w:p w14:paraId="24BF954D" w14:textId="4ED93AD2" w:rsidR="003B0195" w:rsidRPr="00AA27E0" w:rsidRDefault="003B019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366,792,310,655.</w:t>
            </w:r>
            <w:r w:rsidR="002C61EF">
              <w:rPr>
                <w:rFonts w:ascii="Noto Sans" w:hAnsi="Noto Sans" w:cs="Noto Sans"/>
                <w:b/>
                <w:bCs/>
                <w:color w:val="000000"/>
                <w:sz w:val="15"/>
                <w:szCs w:val="15"/>
              </w:rPr>
              <w:t>4</w:t>
            </w:r>
          </w:p>
        </w:tc>
      </w:tr>
      <w:tr w:rsidR="002D5A9A" w:rsidRPr="00274555" w14:paraId="7BBDF1A1" w14:textId="77777777" w:rsidTr="00C60C18">
        <w:trPr>
          <w:trHeight w:val="226"/>
          <w:jc w:val="center"/>
        </w:trPr>
        <w:tc>
          <w:tcPr>
            <w:tcW w:w="5475" w:type="dxa"/>
            <w:tcBorders>
              <w:top w:val="single" w:sz="12" w:space="0" w:color="A6802D"/>
              <w:left w:val="nil"/>
              <w:right w:val="nil"/>
            </w:tcBorders>
            <w:vAlign w:val="center"/>
          </w:tcPr>
          <w:p w14:paraId="055B3171" w14:textId="77777777" w:rsidR="002D5A9A" w:rsidRPr="00274555" w:rsidRDefault="002D5A9A" w:rsidP="00C60C18">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1684656A" w14:textId="77777777" w:rsidR="002D5A9A" w:rsidRPr="00274555" w:rsidRDefault="002D5A9A" w:rsidP="00C60C18">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033512C" w14:textId="77777777" w:rsidR="002D5A9A" w:rsidRPr="00274555" w:rsidRDefault="002D5A9A" w:rsidP="00C60C18">
            <w:pPr>
              <w:spacing w:after="0" w:line="240" w:lineRule="auto"/>
              <w:jc w:val="both"/>
              <w:rPr>
                <w:rFonts w:ascii="Noto Sans" w:eastAsia="Times New Roman" w:hAnsi="Noto Sans" w:cs="Noto Sans"/>
                <w:b/>
                <w:bCs/>
                <w:color w:val="000000"/>
                <w:sz w:val="14"/>
                <w:szCs w:val="14"/>
                <w:lang w:eastAsia="es-MX"/>
              </w:rPr>
            </w:pPr>
          </w:p>
        </w:tc>
      </w:tr>
    </w:tbl>
    <w:p w14:paraId="40EB9603" w14:textId="77777777" w:rsidR="002D5A9A" w:rsidRPr="002D5A9A" w:rsidRDefault="002D5A9A" w:rsidP="002D5A9A">
      <w:pPr>
        <w:rPr>
          <w:rFonts w:ascii="Noto Sans" w:hAnsi="Noto Sans" w:cs="Noto Sans"/>
          <w:sz w:val="18"/>
          <w:szCs w:val="18"/>
        </w:rPr>
      </w:pPr>
    </w:p>
    <w:p w14:paraId="28E6D9EB" w14:textId="3AF73DDC" w:rsidR="00AC36C2" w:rsidRDefault="00792DE8" w:rsidP="00D06BE8">
      <w:pPr>
        <w:pStyle w:val="TEXTONORMAL"/>
        <w:numPr>
          <w:ilvl w:val="0"/>
          <w:numId w:val="103"/>
        </w:numPr>
      </w:pPr>
      <w:r w:rsidRPr="00905AC7">
        <w:rPr>
          <w:rFonts w:cs="Noto Sans"/>
          <w:szCs w:val="18"/>
        </w:rPr>
        <w:t>4</w:t>
      </w:r>
      <w:r w:rsidR="002D5A9A" w:rsidRPr="00905AC7">
        <w:rPr>
          <w:rFonts w:cs="Noto Sans"/>
          <w:szCs w:val="18"/>
        </w:rPr>
        <w:t>.6.a) Los recursos de las Reservas Financieras no forman parte del patrimonio del Instituto como lo establece el artículo 278 de la LSS y sólo podrá</w:t>
      </w:r>
      <w:r w:rsidR="002D5A9A">
        <w:t xml:space="preserve"> disponer de ellos para cumplir los fines previstos. (Ver nota </w:t>
      </w:r>
      <w:r w:rsidR="00F379EC">
        <w:t>3</w:t>
      </w:r>
      <w:r w:rsidR="002D5A9A">
        <w:t>.7.a)</w:t>
      </w:r>
    </w:p>
    <w:p w14:paraId="4D070BF2" w14:textId="77777777" w:rsidR="00121C87" w:rsidRDefault="00121C87" w:rsidP="00121C87">
      <w:pPr>
        <w:spacing w:after="120" w:line="250" w:lineRule="exact"/>
        <w:rPr>
          <w:rFonts w:ascii="Noto Sans" w:hAnsi="Noto Sans" w:cs="Noto Sans"/>
          <w:sz w:val="18"/>
          <w:szCs w:val="18"/>
        </w:rPr>
      </w:pPr>
    </w:p>
    <w:p w14:paraId="6785EE45" w14:textId="77777777" w:rsidR="00637134" w:rsidRDefault="00637134" w:rsidP="00121C87">
      <w:pPr>
        <w:spacing w:after="120" w:line="250" w:lineRule="exact"/>
        <w:rPr>
          <w:rFonts w:ascii="Noto Sans" w:hAnsi="Noto Sans" w:cs="Noto Sans"/>
          <w:sz w:val="18"/>
          <w:szCs w:val="18"/>
        </w:rPr>
      </w:pPr>
    </w:p>
    <w:p w14:paraId="20F868AB" w14:textId="77777777" w:rsidR="00637134" w:rsidRDefault="00637134" w:rsidP="00121C87">
      <w:pPr>
        <w:spacing w:after="120" w:line="250" w:lineRule="exact"/>
        <w:rPr>
          <w:rFonts w:ascii="Noto Sans" w:hAnsi="Noto Sans" w:cs="Noto Sans"/>
          <w:sz w:val="18"/>
          <w:szCs w:val="18"/>
        </w:rPr>
      </w:pPr>
    </w:p>
    <w:p w14:paraId="0A0DD8EB" w14:textId="77777777" w:rsidR="00637134" w:rsidRDefault="00637134" w:rsidP="00121C87">
      <w:pPr>
        <w:spacing w:after="120" w:line="250" w:lineRule="exact"/>
        <w:rPr>
          <w:rFonts w:ascii="Noto Sans" w:hAnsi="Noto Sans" w:cs="Noto Sans"/>
          <w:sz w:val="18"/>
          <w:szCs w:val="18"/>
        </w:rPr>
      </w:pPr>
    </w:p>
    <w:p w14:paraId="5F2EDEEA" w14:textId="77777777" w:rsidR="00637134" w:rsidRDefault="00637134" w:rsidP="00121C87">
      <w:pPr>
        <w:spacing w:after="120" w:line="250" w:lineRule="exact"/>
        <w:rPr>
          <w:rFonts w:ascii="Noto Sans" w:hAnsi="Noto Sans" w:cs="Noto Sans"/>
          <w:sz w:val="18"/>
          <w:szCs w:val="18"/>
        </w:rPr>
      </w:pPr>
    </w:p>
    <w:p w14:paraId="5ADB5F2C" w14:textId="77777777" w:rsidR="00637134" w:rsidRDefault="00637134" w:rsidP="00121C87">
      <w:pPr>
        <w:spacing w:after="120" w:line="250" w:lineRule="exact"/>
        <w:rPr>
          <w:rFonts w:ascii="Noto Sans" w:hAnsi="Noto Sans" w:cs="Noto Sans"/>
          <w:sz w:val="18"/>
          <w:szCs w:val="18"/>
        </w:rPr>
      </w:pPr>
    </w:p>
    <w:p w14:paraId="05201DC1" w14:textId="77777777" w:rsidR="00637134" w:rsidRDefault="00637134" w:rsidP="00121C87">
      <w:pPr>
        <w:spacing w:after="120" w:line="250" w:lineRule="exact"/>
        <w:rPr>
          <w:rFonts w:ascii="Noto Sans" w:hAnsi="Noto Sans" w:cs="Noto Sans"/>
          <w:sz w:val="18"/>
          <w:szCs w:val="18"/>
        </w:rPr>
      </w:pPr>
    </w:p>
    <w:p w14:paraId="3194A275" w14:textId="77777777" w:rsidR="00637134" w:rsidRDefault="00637134" w:rsidP="00121C87">
      <w:pPr>
        <w:spacing w:after="120" w:line="250" w:lineRule="exact"/>
        <w:rPr>
          <w:rFonts w:ascii="Noto Sans" w:hAnsi="Noto Sans" w:cs="Noto Sans"/>
          <w:sz w:val="18"/>
          <w:szCs w:val="18"/>
        </w:rPr>
      </w:pPr>
    </w:p>
    <w:p w14:paraId="22623136" w14:textId="4C6D86C9" w:rsidR="00121C87" w:rsidRDefault="00121C87" w:rsidP="00ED1D2E">
      <w:pPr>
        <w:pStyle w:val="TEXTONORMAL"/>
        <w:numPr>
          <w:ilvl w:val="0"/>
          <w:numId w:val="6"/>
        </w:numPr>
        <w:spacing w:before="240"/>
        <w:ind w:left="0" w:firstLine="0"/>
        <w:jc w:val="left"/>
        <w:rPr>
          <w:rFonts w:cs="Noto Sans"/>
          <w:b/>
          <w:sz w:val="22"/>
        </w:rPr>
      </w:pPr>
      <w:r>
        <w:rPr>
          <w:rFonts w:cs="Noto Sans"/>
          <w:b/>
          <w:sz w:val="22"/>
        </w:rPr>
        <w:lastRenderedPageBreak/>
        <w:t xml:space="preserve">NOTAS AL ESTADO DE </w:t>
      </w:r>
      <w:r w:rsidRPr="00121C87">
        <w:rPr>
          <w:rFonts w:cs="Noto Sans"/>
          <w:b/>
          <w:sz w:val="22"/>
        </w:rPr>
        <w:t>VARIACIÓN EN LA HACIENDA PÚBLICA</w:t>
      </w:r>
    </w:p>
    <w:p w14:paraId="2C06A67B" w14:textId="77777777" w:rsidR="00121C87" w:rsidRDefault="00121C87" w:rsidP="00121C87">
      <w:pPr>
        <w:spacing w:after="120" w:line="250" w:lineRule="exact"/>
        <w:rPr>
          <w:rFonts w:ascii="Noto Sans" w:hAnsi="Noto Sans" w:cs="Noto Sans"/>
          <w:sz w:val="18"/>
          <w:szCs w:val="18"/>
        </w:rPr>
      </w:pPr>
    </w:p>
    <w:p w14:paraId="162D8990" w14:textId="77777777" w:rsidR="00121C87" w:rsidRPr="00BC4E2C" w:rsidRDefault="00121C87" w:rsidP="00BC4E2C">
      <w:pPr>
        <w:pStyle w:val="Prrafodelista"/>
        <w:numPr>
          <w:ilvl w:val="0"/>
          <w:numId w:val="29"/>
        </w:numPr>
        <w:spacing w:after="120" w:line="250" w:lineRule="exact"/>
        <w:ind w:left="357" w:hanging="357"/>
        <w:rPr>
          <w:rFonts w:ascii="Noto Sans" w:hAnsi="Noto Sans" w:cs="Noto Sans"/>
          <w:sz w:val="18"/>
          <w:szCs w:val="18"/>
        </w:rPr>
      </w:pPr>
      <w:r w:rsidRPr="00BC4E2C">
        <w:rPr>
          <w:rFonts w:ascii="Noto Sans" w:hAnsi="Noto Sans" w:cs="Noto Sans"/>
          <w:sz w:val="18"/>
          <w:szCs w:val="18"/>
        </w:rPr>
        <w:t>PATRIMONIO</w:t>
      </w:r>
    </w:p>
    <w:p w14:paraId="6C031AB9" w14:textId="7D9857F7" w:rsidR="00121C87" w:rsidRDefault="00121C87" w:rsidP="00121C87">
      <w:pPr>
        <w:pStyle w:val="TEXTONORMAL"/>
      </w:pPr>
      <w:bookmarkStart w:id="5" w:name="_Hlk94189572"/>
      <w:r>
        <w:t>El patrimonio del Instituto lo constituyen entre otros</w:t>
      </w:r>
      <w:bookmarkEnd w:id="5"/>
      <w:r>
        <w:t xml:space="preserve">, los bienes muebles e inmuebles, los derechos de propiedad y posesión de los bienes adjudicados que por justo título obren en poder del Instituto y los productos de cualquier clase que generen los bienes y derechos patrimoniales. Durante los periodos terminados </w:t>
      </w:r>
      <w:r w:rsidR="004C72F3">
        <w:rPr>
          <w:rFonts w:cs="Noto Sans"/>
          <w:szCs w:val="18"/>
        </w:rPr>
        <w:t>a</w:t>
      </w:r>
      <w:r w:rsidR="004C72F3" w:rsidRPr="000F4D76">
        <w:rPr>
          <w:rFonts w:cs="Noto Sans"/>
          <w:szCs w:val="18"/>
        </w:rPr>
        <w:t>l 3</w:t>
      </w:r>
      <w:r w:rsidR="00335F7F">
        <w:rPr>
          <w:rFonts w:cs="Noto Sans"/>
          <w:szCs w:val="18"/>
        </w:rPr>
        <w:t>0</w:t>
      </w:r>
      <w:r w:rsidR="004C72F3" w:rsidRPr="000F4D76">
        <w:rPr>
          <w:rFonts w:cs="Noto Sans"/>
          <w:szCs w:val="18"/>
        </w:rPr>
        <w:t xml:space="preserve"> de </w:t>
      </w:r>
      <w:r w:rsidR="00335F7F">
        <w:rPr>
          <w:rFonts w:cs="Noto Sans"/>
          <w:szCs w:val="18"/>
        </w:rPr>
        <w:t xml:space="preserve">junio </w:t>
      </w:r>
      <w:r w:rsidR="004C72F3" w:rsidRPr="000F4D76">
        <w:rPr>
          <w:rFonts w:cs="Noto Sans"/>
          <w:szCs w:val="18"/>
        </w:rPr>
        <w:t>de 2025 y 31 de diciembre de 2024</w:t>
      </w:r>
      <w:r>
        <w:t>, se reconocieron los siguientes eventos:</w:t>
      </w:r>
    </w:p>
    <w:p w14:paraId="4E251B00" w14:textId="77777777" w:rsidR="00121C87" w:rsidRPr="00BC4E2C" w:rsidRDefault="00121C87" w:rsidP="00D06BE8">
      <w:pPr>
        <w:pStyle w:val="TEXTONORMAL"/>
        <w:numPr>
          <w:ilvl w:val="0"/>
          <w:numId w:val="103"/>
        </w:numPr>
        <w:rPr>
          <w:rFonts w:cs="Noto Sans"/>
          <w:szCs w:val="18"/>
        </w:rPr>
      </w:pPr>
      <w:r w:rsidRPr="00BC4E2C">
        <w:rPr>
          <w:rFonts w:cs="Noto Sans"/>
          <w:szCs w:val="18"/>
        </w:rPr>
        <w:t>El superávit por revaluación lo constituye el efecto acumulado de la inflación en el patrimonio reconocido hasta el 31 de diciembre de 2007, el cual se registra en el exceso o insuficiencia en la actualización del patrimonio.</w:t>
      </w:r>
    </w:p>
    <w:p w14:paraId="0089A925" w14:textId="77777777" w:rsidR="00121C87" w:rsidRPr="00BC4E2C" w:rsidRDefault="00121C87" w:rsidP="00D06BE8">
      <w:pPr>
        <w:pStyle w:val="TEXTONORMAL"/>
        <w:numPr>
          <w:ilvl w:val="0"/>
          <w:numId w:val="103"/>
        </w:numPr>
        <w:rPr>
          <w:rFonts w:cs="Noto Sans"/>
          <w:szCs w:val="18"/>
        </w:rPr>
      </w:pPr>
      <w:r w:rsidRPr="00BC4E2C">
        <w:rPr>
          <w:rFonts w:cs="Noto Sans"/>
          <w:szCs w:val="18"/>
        </w:rPr>
        <w:t>El Instituto registra en el patrimonio la ganancia no realizada de los instrumentos financieros clasificados como para cobrar o vender, dicha ganancia se registrará en el Estado de Actividades en el momento que se realicen, sin embargo, para dar cumplimiento al artículo 278 de la LSS, se registra una provisión para igualar las inversiones.</w:t>
      </w:r>
    </w:p>
    <w:p w14:paraId="4609FFF3" w14:textId="1EF5EB96" w:rsidR="00637134" w:rsidRPr="001D1B0E" w:rsidRDefault="00121C87" w:rsidP="00233E38">
      <w:pPr>
        <w:pStyle w:val="TEXTONORMAL"/>
        <w:numPr>
          <w:ilvl w:val="0"/>
          <w:numId w:val="103"/>
        </w:numPr>
        <w:rPr>
          <w:rFonts w:cs="Noto Sans"/>
          <w:szCs w:val="18"/>
        </w:rPr>
      </w:pPr>
      <w:r w:rsidRPr="001D1B0E">
        <w:rPr>
          <w:rFonts w:cs="Noto Sans"/>
          <w:szCs w:val="18"/>
        </w:rPr>
        <w:t xml:space="preserve">Durante el </w:t>
      </w:r>
      <w:r w:rsidR="00D8767E" w:rsidRPr="001D1B0E">
        <w:rPr>
          <w:rFonts w:cs="Noto Sans"/>
          <w:szCs w:val="18"/>
        </w:rPr>
        <w:t>primer</w:t>
      </w:r>
      <w:r w:rsidR="0008446C">
        <w:rPr>
          <w:rFonts w:cs="Noto Sans"/>
          <w:szCs w:val="18"/>
        </w:rPr>
        <w:t xml:space="preserve"> semestre</w:t>
      </w:r>
      <w:r w:rsidR="00D8767E" w:rsidRPr="001D1B0E">
        <w:rPr>
          <w:rFonts w:cs="Noto Sans"/>
          <w:szCs w:val="18"/>
        </w:rPr>
        <w:t xml:space="preserve"> del</w:t>
      </w:r>
      <w:r w:rsidRPr="001D1B0E">
        <w:rPr>
          <w:rFonts w:cs="Noto Sans"/>
          <w:szCs w:val="18"/>
        </w:rPr>
        <w:t xml:space="preserve"> 202</w:t>
      </w:r>
      <w:r w:rsidR="000969DF" w:rsidRPr="001D1B0E">
        <w:rPr>
          <w:rFonts w:cs="Noto Sans"/>
          <w:szCs w:val="18"/>
        </w:rPr>
        <w:t>5</w:t>
      </w:r>
      <w:r w:rsidRPr="001D1B0E">
        <w:rPr>
          <w:rFonts w:cs="Noto Sans"/>
          <w:szCs w:val="18"/>
        </w:rPr>
        <w:t xml:space="preserve">, el Patrimonio Contribuido Institucional presentó un incremento por </w:t>
      </w:r>
      <w:r w:rsidR="00190BA7" w:rsidRPr="001D1B0E">
        <w:rPr>
          <w:rFonts w:cs="Noto Sans"/>
          <w:szCs w:val="18"/>
        </w:rPr>
        <w:t>1,052</w:t>
      </w:r>
      <w:r w:rsidR="00463A39" w:rsidRPr="001D1B0E">
        <w:rPr>
          <w:rFonts w:cs="Noto Sans"/>
          <w:szCs w:val="18"/>
        </w:rPr>
        <w:t>,</w:t>
      </w:r>
      <w:r w:rsidR="00190BA7" w:rsidRPr="001D1B0E">
        <w:rPr>
          <w:rFonts w:cs="Noto Sans"/>
          <w:szCs w:val="18"/>
        </w:rPr>
        <w:t>791</w:t>
      </w:r>
      <w:r w:rsidRPr="001D1B0E">
        <w:rPr>
          <w:rFonts w:cs="Noto Sans"/>
          <w:szCs w:val="18"/>
        </w:rPr>
        <w:t>,</w:t>
      </w:r>
      <w:r w:rsidR="000969DF" w:rsidRPr="001D1B0E">
        <w:rPr>
          <w:rFonts w:cs="Noto Sans"/>
          <w:szCs w:val="18"/>
        </w:rPr>
        <w:t>1</w:t>
      </w:r>
      <w:r w:rsidR="00190BA7" w:rsidRPr="001D1B0E">
        <w:rPr>
          <w:rFonts w:cs="Noto Sans"/>
          <w:szCs w:val="18"/>
        </w:rPr>
        <w:t>6</w:t>
      </w:r>
      <w:r w:rsidR="00035E5B">
        <w:rPr>
          <w:rFonts w:cs="Noto Sans"/>
          <w:szCs w:val="18"/>
        </w:rPr>
        <w:t>6</w:t>
      </w:r>
      <w:r w:rsidRPr="001D1B0E">
        <w:rPr>
          <w:rFonts w:cs="Noto Sans"/>
          <w:szCs w:val="18"/>
        </w:rPr>
        <w:t>.</w:t>
      </w:r>
      <w:r w:rsidR="00B7034B">
        <w:rPr>
          <w:rFonts w:cs="Noto Sans"/>
          <w:szCs w:val="18"/>
        </w:rPr>
        <w:t>1</w:t>
      </w:r>
      <w:r w:rsidRPr="001D1B0E">
        <w:rPr>
          <w:rFonts w:cs="Noto Sans"/>
          <w:szCs w:val="18"/>
        </w:rPr>
        <w:t xml:space="preserve"> pesos, principalmente por la donación de terrenos</w:t>
      </w:r>
      <w:r w:rsidR="000969DF" w:rsidRPr="001D1B0E">
        <w:rPr>
          <w:rFonts w:cs="Noto Sans"/>
          <w:szCs w:val="18"/>
        </w:rPr>
        <w:t>, edificios, bienes de consumo y muebles</w:t>
      </w:r>
      <w:r w:rsidRPr="001D1B0E">
        <w:rPr>
          <w:rFonts w:cs="Noto Sans"/>
          <w:szCs w:val="18"/>
        </w:rPr>
        <w:t>.</w:t>
      </w:r>
    </w:p>
    <w:p w14:paraId="2A49E92E" w14:textId="77777777" w:rsidR="00637134" w:rsidRPr="00637134" w:rsidRDefault="00637134" w:rsidP="00637134">
      <w:pPr>
        <w:pStyle w:val="TEXTONORMAL"/>
        <w:rPr>
          <w:rFonts w:cs="Noto Sans"/>
          <w:szCs w:val="18"/>
        </w:rPr>
      </w:pPr>
    </w:p>
    <w:p w14:paraId="283663C8" w14:textId="13C4FF63" w:rsidR="00637134" w:rsidRPr="006E2998" w:rsidRDefault="004C1082" w:rsidP="00637134">
      <w:pPr>
        <w:pStyle w:val="TEXTONORMAL"/>
        <w:numPr>
          <w:ilvl w:val="0"/>
          <w:numId w:val="6"/>
        </w:numPr>
        <w:spacing w:before="240"/>
        <w:ind w:left="0" w:firstLine="0"/>
        <w:jc w:val="left"/>
        <w:rPr>
          <w:rFonts w:cs="Noto Sans"/>
          <w:b/>
          <w:sz w:val="22"/>
        </w:rPr>
      </w:pPr>
      <w:r>
        <w:rPr>
          <w:rFonts w:cs="Noto Sans"/>
          <w:b/>
          <w:sz w:val="22"/>
        </w:rPr>
        <w:t xml:space="preserve">NOTAS AL ESTADO DE </w:t>
      </w:r>
      <w:r w:rsidRPr="004C1082">
        <w:rPr>
          <w:rFonts w:cs="Noto Sans"/>
          <w:b/>
          <w:sz w:val="22"/>
        </w:rPr>
        <w:t>FLUJOS DE EFECTIVO</w:t>
      </w:r>
    </w:p>
    <w:p w14:paraId="579B7CF2" w14:textId="77777777" w:rsidR="004C1082" w:rsidRPr="00601CD5" w:rsidRDefault="004C1082" w:rsidP="00ED1D2E">
      <w:pPr>
        <w:pStyle w:val="TEXTONORMAL"/>
        <w:numPr>
          <w:ilvl w:val="0"/>
          <w:numId w:val="9"/>
        </w:numPr>
        <w:spacing w:before="240"/>
        <w:ind w:left="0" w:firstLine="0"/>
        <w:rPr>
          <w:b/>
          <w:sz w:val="22"/>
        </w:rPr>
      </w:pPr>
      <w:r>
        <w:rPr>
          <w:b/>
          <w:sz w:val="22"/>
        </w:rPr>
        <w:t>EFECTIVO Y EQUIVALENTES</w:t>
      </w:r>
    </w:p>
    <w:p w14:paraId="5D34CB31" w14:textId="387FA3FF" w:rsidR="004C1082" w:rsidRDefault="004C1082" w:rsidP="004C1082">
      <w:pPr>
        <w:pStyle w:val="Prrafodelista"/>
        <w:numPr>
          <w:ilvl w:val="0"/>
          <w:numId w:val="29"/>
        </w:numPr>
        <w:spacing w:after="120" w:line="250" w:lineRule="exact"/>
        <w:ind w:left="357" w:hanging="357"/>
        <w:rPr>
          <w:rFonts w:ascii="Noto Sans" w:hAnsi="Noto Sans" w:cs="Noto Sans"/>
          <w:sz w:val="18"/>
          <w:szCs w:val="18"/>
        </w:rPr>
      </w:pPr>
      <w:r>
        <w:rPr>
          <w:rFonts w:ascii="Noto Sans" w:hAnsi="Noto Sans" w:cs="Noto Sans"/>
          <w:sz w:val="18"/>
          <w:szCs w:val="18"/>
        </w:rPr>
        <w:t>5</w:t>
      </w:r>
      <w:r w:rsidRPr="004C1082">
        <w:rPr>
          <w:rFonts w:ascii="Noto Sans" w:hAnsi="Noto Sans" w:cs="Noto Sans"/>
          <w:sz w:val="18"/>
          <w:szCs w:val="18"/>
        </w:rPr>
        <w:t>.</w:t>
      </w:r>
      <w:r>
        <w:rPr>
          <w:rFonts w:ascii="Noto Sans" w:hAnsi="Noto Sans" w:cs="Noto Sans"/>
          <w:sz w:val="18"/>
          <w:szCs w:val="18"/>
        </w:rPr>
        <w:t xml:space="preserve">1 </w:t>
      </w:r>
      <w:r w:rsidRPr="004C1082">
        <w:rPr>
          <w:rFonts w:ascii="Noto Sans" w:hAnsi="Noto Sans" w:cs="Noto Sans"/>
          <w:sz w:val="18"/>
          <w:szCs w:val="18"/>
        </w:rPr>
        <w:t>El análisis de los saldos iniciales y finales del rubro de Efectivo y Equivalentes es como se muestra a continuación:</w:t>
      </w:r>
    </w:p>
    <w:p w14:paraId="6B0328E3" w14:textId="77777777" w:rsidR="00637134" w:rsidRPr="00637134" w:rsidRDefault="00637134" w:rsidP="00637134">
      <w:pPr>
        <w:pStyle w:val="Prrafodelista"/>
        <w:spacing w:after="120" w:line="250" w:lineRule="exact"/>
        <w:ind w:left="357"/>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4C1082" w:rsidRPr="005946C5" w14:paraId="2DA3D594" w14:textId="77777777" w:rsidTr="00655E4E">
        <w:trPr>
          <w:trHeight w:val="83"/>
          <w:jc w:val="center"/>
        </w:trPr>
        <w:tc>
          <w:tcPr>
            <w:tcW w:w="5475"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D63EF85" w14:textId="77777777" w:rsidR="004C1082" w:rsidRPr="008E629A" w:rsidRDefault="004C108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DE88E32" w14:textId="77777777" w:rsidR="004C1082" w:rsidRPr="008E629A" w:rsidRDefault="004C108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4C1082" w:rsidRPr="005946C5" w14:paraId="3FB9CDB0" w14:textId="77777777" w:rsidTr="00655E4E">
        <w:trPr>
          <w:trHeight w:val="28"/>
          <w:jc w:val="center"/>
        </w:trPr>
        <w:tc>
          <w:tcPr>
            <w:tcW w:w="5475" w:type="dxa"/>
            <w:vMerge/>
            <w:tcBorders>
              <w:top w:val="single" w:sz="12" w:space="0" w:color="808080"/>
              <w:left w:val="nil"/>
              <w:bottom w:val="triple" w:sz="12" w:space="0" w:color="A6802D"/>
              <w:right w:val="single" w:sz="12" w:space="0" w:color="FFFFFF"/>
            </w:tcBorders>
            <w:shd w:val="clear" w:color="auto" w:fill="A6802D"/>
            <w:vAlign w:val="center"/>
            <w:hideMark/>
          </w:tcPr>
          <w:p w14:paraId="01455833" w14:textId="77777777" w:rsidR="004C1082" w:rsidRPr="008E629A" w:rsidRDefault="004C1082" w:rsidP="00655E4E">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5C55504D" w14:textId="676D5B17" w:rsidR="004C1082" w:rsidRPr="008E629A" w:rsidRDefault="004C1082"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4FF68785" w14:textId="20A265FE" w:rsidR="004C1082" w:rsidRPr="008E629A" w:rsidRDefault="004C1082"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DA03FE" w:rsidRPr="005946C5" w14:paraId="4021607E" w14:textId="77777777" w:rsidTr="005065A8">
        <w:trPr>
          <w:trHeight w:val="283"/>
          <w:jc w:val="center"/>
        </w:trPr>
        <w:tc>
          <w:tcPr>
            <w:tcW w:w="5475" w:type="dxa"/>
            <w:tcBorders>
              <w:top w:val="triple" w:sz="12" w:space="0" w:color="A6802D"/>
              <w:left w:val="nil"/>
              <w:bottom w:val="nil"/>
              <w:right w:val="nil"/>
            </w:tcBorders>
            <w:shd w:val="clear" w:color="000000" w:fill="F2F2F2"/>
            <w:vAlign w:val="center"/>
          </w:tcPr>
          <w:p w14:paraId="5614A0A5" w14:textId="77777777" w:rsidR="00DA03FE" w:rsidRPr="004C1082" w:rsidRDefault="00DA03FE" w:rsidP="00DA03FE">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 xml:space="preserve">Inversiones Temporales </w:t>
            </w:r>
          </w:p>
        </w:tc>
        <w:tc>
          <w:tcPr>
            <w:tcW w:w="1960" w:type="dxa"/>
            <w:tcBorders>
              <w:top w:val="nil"/>
              <w:left w:val="nil"/>
              <w:bottom w:val="nil"/>
              <w:right w:val="nil"/>
            </w:tcBorders>
            <w:shd w:val="clear" w:color="000000" w:fill="F2F2F2"/>
            <w:vAlign w:val="center"/>
          </w:tcPr>
          <w:p w14:paraId="7063AD42" w14:textId="7394E559" w:rsidR="00DA03FE" w:rsidRPr="004C1082" w:rsidRDefault="00DA03FE" w:rsidP="00DA03F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139,093,236,676.8</w:t>
            </w:r>
          </w:p>
        </w:tc>
        <w:tc>
          <w:tcPr>
            <w:tcW w:w="1961" w:type="dxa"/>
            <w:tcBorders>
              <w:top w:val="triple" w:sz="12" w:space="0" w:color="A6802D"/>
              <w:left w:val="nil"/>
              <w:bottom w:val="nil"/>
              <w:right w:val="nil"/>
            </w:tcBorders>
            <w:shd w:val="clear" w:color="000000" w:fill="F2F2F2"/>
            <w:vAlign w:val="center"/>
          </w:tcPr>
          <w:p w14:paraId="3AFABC95" w14:textId="70BA0E51" w:rsidR="00DA03FE" w:rsidRPr="004C1082" w:rsidRDefault="00DA03FE" w:rsidP="00DA03FE">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83,641,777,653.8</w:t>
            </w:r>
          </w:p>
        </w:tc>
      </w:tr>
      <w:tr w:rsidR="00DA03FE" w:rsidRPr="00FC0913" w14:paraId="4286CD06" w14:textId="77777777" w:rsidTr="00B85753">
        <w:trPr>
          <w:trHeight w:val="283"/>
          <w:jc w:val="center"/>
        </w:trPr>
        <w:tc>
          <w:tcPr>
            <w:tcW w:w="5475" w:type="dxa"/>
            <w:tcBorders>
              <w:top w:val="nil"/>
              <w:left w:val="nil"/>
              <w:bottom w:val="nil"/>
              <w:right w:val="nil"/>
            </w:tcBorders>
            <w:shd w:val="clear" w:color="000000" w:fill="F2F2F2"/>
            <w:vAlign w:val="center"/>
          </w:tcPr>
          <w:p w14:paraId="0E5C49C0" w14:textId="6788E355" w:rsidR="00DA03FE" w:rsidRPr="004C1082" w:rsidRDefault="00DA03FE" w:rsidP="00DA03FE">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 xml:space="preserve">Depósitos de Fondos de Terceros en Garantía y/o Administración </w:t>
            </w:r>
          </w:p>
        </w:tc>
        <w:tc>
          <w:tcPr>
            <w:tcW w:w="1960" w:type="dxa"/>
            <w:tcBorders>
              <w:top w:val="nil"/>
              <w:left w:val="nil"/>
              <w:bottom w:val="nil"/>
              <w:right w:val="nil"/>
            </w:tcBorders>
            <w:shd w:val="clear" w:color="000000" w:fill="F2F2F2"/>
            <w:vAlign w:val="center"/>
          </w:tcPr>
          <w:p w14:paraId="0586008D" w14:textId="63A06DD3" w:rsidR="00DA03FE" w:rsidRDefault="00DA03FE" w:rsidP="00DA03FE">
            <w:pPr>
              <w:spacing w:after="0" w:line="240" w:lineRule="auto"/>
              <w:jc w:val="right"/>
              <w:rPr>
                <w:rFonts w:ascii="Noto Sans" w:hAnsi="Noto Sans" w:cs="Noto Sans"/>
                <w:color w:val="000000"/>
                <w:sz w:val="15"/>
                <w:szCs w:val="15"/>
              </w:rPr>
            </w:pPr>
            <w:r>
              <w:rPr>
                <w:rFonts w:ascii="Noto Sans" w:hAnsi="Noto Sans" w:cs="Noto Sans"/>
                <w:color w:val="000000"/>
                <w:sz w:val="15"/>
                <w:szCs w:val="15"/>
              </w:rPr>
              <w:t>54,166,722,979.1</w:t>
            </w:r>
          </w:p>
        </w:tc>
        <w:tc>
          <w:tcPr>
            <w:tcW w:w="1961" w:type="dxa"/>
            <w:tcBorders>
              <w:top w:val="nil"/>
              <w:left w:val="nil"/>
              <w:bottom w:val="nil"/>
              <w:right w:val="nil"/>
            </w:tcBorders>
            <w:shd w:val="clear" w:color="000000" w:fill="F2F2F2"/>
            <w:vAlign w:val="center"/>
          </w:tcPr>
          <w:p w14:paraId="00CFE4BD" w14:textId="7855CBAA" w:rsidR="00DA03FE" w:rsidRPr="004C1082" w:rsidRDefault="00DA03FE" w:rsidP="00DA03FE">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364,639,915.3</w:t>
            </w:r>
          </w:p>
        </w:tc>
      </w:tr>
      <w:tr w:rsidR="00DA03FE" w:rsidRPr="00FC0913" w14:paraId="211DA0B6" w14:textId="77777777" w:rsidTr="00B85753">
        <w:trPr>
          <w:trHeight w:val="283"/>
          <w:jc w:val="center"/>
        </w:trPr>
        <w:tc>
          <w:tcPr>
            <w:tcW w:w="5475" w:type="dxa"/>
            <w:tcBorders>
              <w:top w:val="nil"/>
              <w:left w:val="nil"/>
              <w:bottom w:val="nil"/>
              <w:right w:val="nil"/>
            </w:tcBorders>
            <w:shd w:val="clear" w:color="000000" w:fill="F2F2F2"/>
            <w:vAlign w:val="center"/>
          </w:tcPr>
          <w:p w14:paraId="5B7F9CBC" w14:textId="77777777" w:rsidR="00DA03FE" w:rsidRPr="004C1082" w:rsidRDefault="00DA03FE" w:rsidP="00DA03FE">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 xml:space="preserve">Bancos / Tesorería </w:t>
            </w:r>
          </w:p>
        </w:tc>
        <w:tc>
          <w:tcPr>
            <w:tcW w:w="1960" w:type="dxa"/>
            <w:tcBorders>
              <w:top w:val="nil"/>
              <w:left w:val="nil"/>
              <w:bottom w:val="nil"/>
              <w:right w:val="nil"/>
            </w:tcBorders>
            <w:shd w:val="clear" w:color="000000" w:fill="F2F2F2"/>
            <w:vAlign w:val="center"/>
          </w:tcPr>
          <w:p w14:paraId="49ACC5C4" w14:textId="15B8C492" w:rsidR="00DA03FE" w:rsidRPr="004C1082" w:rsidRDefault="00DA03FE" w:rsidP="00DA03F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1,362,305,141.2</w:t>
            </w:r>
          </w:p>
        </w:tc>
        <w:tc>
          <w:tcPr>
            <w:tcW w:w="1961" w:type="dxa"/>
            <w:tcBorders>
              <w:top w:val="nil"/>
              <w:left w:val="nil"/>
              <w:bottom w:val="nil"/>
              <w:right w:val="nil"/>
            </w:tcBorders>
            <w:shd w:val="clear" w:color="000000" w:fill="F2F2F2"/>
            <w:vAlign w:val="center"/>
          </w:tcPr>
          <w:p w14:paraId="042BD882" w14:textId="7BAD8C38" w:rsidR="00DA03FE" w:rsidRPr="004C1082" w:rsidRDefault="00DA03FE" w:rsidP="00DA03FE">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1,092,201,028.4</w:t>
            </w:r>
          </w:p>
        </w:tc>
      </w:tr>
      <w:tr w:rsidR="00DA03FE" w:rsidRPr="00FC0913" w14:paraId="6D30FC00" w14:textId="77777777" w:rsidTr="00B85753">
        <w:trPr>
          <w:trHeight w:val="283"/>
          <w:jc w:val="center"/>
        </w:trPr>
        <w:tc>
          <w:tcPr>
            <w:tcW w:w="5475" w:type="dxa"/>
            <w:tcBorders>
              <w:top w:val="nil"/>
              <w:left w:val="nil"/>
              <w:bottom w:val="nil"/>
              <w:right w:val="nil"/>
            </w:tcBorders>
            <w:shd w:val="clear" w:color="000000" w:fill="F2F2F2"/>
            <w:vAlign w:val="center"/>
          </w:tcPr>
          <w:p w14:paraId="2E9E9135" w14:textId="77777777" w:rsidR="00DA03FE" w:rsidRPr="004C1082" w:rsidRDefault="00DA03FE" w:rsidP="00DA03FE">
            <w:pPr>
              <w:spacing w:after="0" w:line="240" w:lineRule="auto"/>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Efectivo</w:t>
            </w:r>
          </w:p>
        </w:tc>
        <w:tc>
          <w:tcPr>
            <w:tcW w:w="1960" w:type="dxa"/>
            <w:tcBorders>
              <w:top w:val="nil"/>
              <w:left w:val="nil"/>
              <w:bottom w:val="nil"/>
              <w:right w:val="nil"/>
            </w:tcBorders>
            <w:shd w:val="clear" w:color="000000" w:fill="F2F2F2"/>
            <w:vAlign w:val="center"/>
          </w:tcPr>
          <w:p w14:paraId="14356357" w14:textId="4CE110F1" w:rsidR="00DA03FE" w:rsidRPr="004C1082" w:rsidRDefault="00DA03FE" w:rsidP="00DA03FE">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39,578,003.0</w:t>
            </w:r>
          </w:p>
        </w:tc>
        <w:tc>
          <w:tcPr>
            <w:tcW w:w="1961" w:type="dxa"/>
            <w:tcBorders>
              <w:top w:val="nil"/>
              <w:left w:val="nil"/>
              <w:bottom w:val="nil"/>
              <w:right w:val="nil"/>
            </w:tcBorders>
            <w:shd w:val="clear" w:color="000000" w:fill="F2F2F2"/>
            <w:vAlign w:val="center"/>
          </w:tcPr>
          <w:p w14:paraId="5F30C636" w14:textId="1A27A32F" w:rsidR="00DA03FE" w:rsidRPr="004C1082" w:rsidRDefault="00DA03FE" w:rsidP="00DA03FE">
            <w:pPr>
              <w:spacing w:after="0" w:line="240" w:lineRule="auto"/>
              <w:jc w:val="right"/>
              <w:rPr>
                <w:rFonts w:ascii="Noto Sans" w:eastAsia="Times New Roman" w:hAnsi="Noto Sans" w:cs="Noto Sans"/>
                <w:color w:val="000000"/>
                <w:sz w:val="15"/>
                <w:szCs w:val="15"/>
                <w:lang w:eastAsia="es-MX"/>
              </w:rPr>
            </w:pPr>
            <w:r w:rsidRPr="004C1082">
              <w:rPr>
                <w:rFonts w:ascii="Noto Sans" w:eastAsia="Times New Roman" w:hAnsi="Noto Sans" w:cs="Noto Sans"/>
                <w:color w:val="000000"/>
                <w:sz w:val="15"/>
                <w:szCs w:val="15"/>
                <w:lang w:eastAsia="es-MX"/>
              </w:rPr>
              <w:t>38,763,469.5</w:t>
            </w:r>
          </w:p>
        </w:tc>
      </w:tr>
      <w:tr w:rsidR="00DA03FE" w:rsidRPr="005946C5" w14:paraId="5BE9C1B2" w14:textId="77777777" w:rsidTr="00B85753">
        <w:trPr>
          <w:trHeight w:val="283"/>
          <w:jc w:val="center"/>
        </w:trPr>
        <w:tc>
          <w:tcPr>
            <w:tcW w:w="5475" w:type="dxa"/>
            <w:tcBorders>
              <w:top w:val="nil"/>
              <w:left w:val="nil"/>
              <w:bottom w:val="single" w:sz="12" w:space="0" w:color="A6802D"/>
              <w:right w:val="nil"/>
            </w:tcBorders>
            <w:shd w:val="clear" w:color="000000" w:fill="F2F2F2"/>
            <w:vAlign w:val="center"/>
          </w:tcPr>
          <w:p w14:paraId="0B408BE8" w14:textId="77777777" w:rsidR="00DA03FE" w:rsidRPr="004C1082" w:rsidRDefault="00DA03FE" w:rsidP="00DA03FE">
            <w:pPr>
              <w:spacing w:after="0" w:line="240" w:lineRule="auto"/>
              <w:rPr>
                <w:rFonts w:ascii="Noto Sans" w:eastAsia="Times New Roman" w:hAnsi="Noto Sans" w:cs="Noto Sans"/>
                <w:b/>
                <w:bCs/>
                <w:color w:val="000000"/>
                <w:sz w:val="15"/>
                <w:szCs w:val="15"/>
                <w:lang w:eastAsia="es-MX"/>
              </w:rPr>
            </w:pPr>
            <w:proofErr w:type="gramStart"/>
            <w:r w:rsidRPr="004C1082">
              <w:rPr>
                <w:rFonts w:ascii="Noto Sans" w:eastAsia="Times New Roman" w:hAnsi="Noto Sans" w:cs="Noto Sans"/>
                <w:b/>
                <w:bCs/>
                <w:color w:val="000000"/>
                <w:sz w:val="15"/>
                <w:szCs w:val="15"/>
                <w:lang w:eastAsia="es-MX"/>
              </w:rPr>
              <w:t>Total</w:t>
            </w:r>
            <w:proofErr w:type="gramEnd"/>
            <w:r w:rsidRPr="004C1082">
              <w:rPr>
                <w:rFonts w:ascii="Noto Sans" w:eastAsia="Times New Roman" w:hAnsi="Noto Sans" w:cs="Noto Sans"/>
                <w:b/>
                <w:bCs/>
                <w:color w:val="000000"/>
                <w:sz w:val="15"/>
                <w:szCs w:val="15"/>
                <w:lang w:eastAsia="es-MX"/>
              </w:rPr>
              <w:t xml:space="preserve"> Efectivo y Equivalentes (</w:t>
            </w:r>
            <w:r>
              <w:rPr>
                <w:rFonts w:ascii="Noto Sans" w:eastAsia="Times New Roman" w:hAnsi="Noto Sans" w:cs="Noto Sans"/>
                <w:b/>
                <w:bCs/>
                <w:color w:val="000000"/>
                <w:sz w:val="15"/>
                <w:szCs w:val="15"/>
                <w:lang w:eastAsia="es-MX"/>
              </w:rPr>
              <w:t>3</w:t>
            </w:r>
            <w:r w:rsidRPr="004C1082">
              <w:rPr>
                <w:rFonts w:ascii="Noto Sans" w:eastAsia="Times New Roman" w:hAnsi="Noto Sans" w:cs="Noto Sans"/>
                <w:b/>
                <w:bCs/>
                <w:color w:val="000000"/>
                <w:sz w:val="15"/>
                <w:szCs w:val="15"/>
                <w:lang w:eastAsia="es-MX"/>
              </w:rPr>
              <w:t>.1)</w:t>
            </w:r>
          </w:p>
        </w:tc>
        <w:tc>
          <w:tcPr>
            <w:tcW w:w="1960" w:type="dxa"/>
            <w:tcBorders>
              <w:top w:val="nil"/>
              <w:left w:val="nil"/>
              <w:bottom w:val="single" w:sz="12" w:space="0" w:color="A6802D"/>
              <w:right w:val="nil"/>
            </w:tcBorders>
            <w:shd w:val="clear" w:color="000000" w:fill="F2F2F2"/>
            <w:vAlign w:val="center"/>
          </w:tcPr>
          <w:p w14:paraId="4643F928" w14:textId="36D89035" w:rsidR="00DA03FE" w:rsidRPr="004C1082" w:rsidRDefault="00DA03FE" w:rsidP="00DA03FE">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194,661,842,800.1</w:t>
            </w:r>
          </w:p>
        </w:tc>
        <w:tc>
          <w:tcPr>
            <w:tcW w:w="1961" w:type="dxa"/>
            <w:tcBorders>
              <w:top w:val="nil"/>
              <w:left w:val="nil"/>
              <w:bottom w:val="single" w:sz="12" w:space="0" w:color="A6802D"/>
              <w:right w:val="nil"/>
            </w:tcBorders>
            <w:shd w:val="clear" w:color="000000" w:fill="F2F2F2"/>
            <w:vAlign w:val="center"/>
          </w:tcPr>
          <w:p w14:paraId="38BA3E03" w14:textId="4CE326C2" w:rsidR="00DA03FE" w:rsidRPr="004C1082" w:rsidRDefault="00DA03FE" w:rsidP="00DA03FE">
            <w:pPr>
              <w:spacing w:after="0" w:line="240" w:lineRule="auto"/>
              <w:jc w:val="right"/>
              <w:rPr>
                <w:rFonts w:ascii="Noto Sans" w:eastAsia="Times New Roman" w:hAnsi="Noto Sans" w:cs="Noto Sans"/>
                <w:b/>
                <w:bCs/>
                <w:color w:val="000000"/>
                <w:sz w:val="15"/>
                <w:szCs w:val="15"/>
                <w:lang w:eastAsia="es-MX"/>
              </w:rPr>
            </w:pPr>
            <w:r w:rsidRPr="004C1082">
              <w:rPr>
                <w:rFonts w:ascii="Noto Sans" w:eastAsia="Times New Roman" w:hAnsi="Noto Sans" w:cs="Noto Sans"/>
                <w:b/>
                <w:bCs/>
                <w:color w:val="000000"/>
                <w:sz w:val="15"/>
                <w:szCs w:val="15"/>
                <w:lang w:eastAsia="es-MX"/>
              </w:rPr>
              <w:t>85,137,382,067.0</w:t>
            </w:r>
          </w:p>
        </w:tc>
      </w:tr>
      <w:tr w:rsidR="001C2FD5" w:rsidRPr="00274555" w14:paraId="6E55C622" w14:textId="77777777" w:rsidTr="00655E4E">
        <w:trPr>
          <w:trHeight w:val="226"/>
          <w:jc w:val="center"/>
        </w:trPr>
        <w:tc>
          <w:tcPr>
            <w:tcW w:w="5475" w:type="dxa"/>
            <w:tcBorders>
              <w:top w:val="single" w:sz="12" w:space="0" w:color="A6802D"/>
              <w:left w:val="nil"/>
              <w:right w:val="nil"/>
            </w:tcBorders>
            <w:vAlign w:val="center"/>
          </w:tcPr>
          <w:p w14:paraId="31B8A3E1" w14:textId="77777777" w:rsidR="001C2FD5" w:rsidRPr="00274555" w:rsidRDefault="001C2FD5" w:rsidP="001C2FD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1373BCE4" w14:textId="77777777" w:rsidR="001C2FD5" w:rsidRPr="00274555" w:rsidRDefault="001C2FD5" w:rsidP="001C2FD5">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5A223B9C" w14:textId="77777777" w:rsidR="001C2FD5" w:rsidRPr="00274555" w:rsidRDefault="001C2FD5" w:rsidP="001C2FD5">
            <w:pPr>
              <w:spacing w:after="0" w:line="240" w:lineRule="auto"/>
              <w:jc w:val="both"/>
              <w:rPr>
                <w:rFonts w:ascii="Noto Sans" w:eastAsia="Times New Roman" w:hAnsi="Noto Sans" w:cs="Noto Sans"/>
                <w:b/>
                <w:bCs/>
                <w:color w:val="000000"/>
                <w:sz w:val="14"/>
                <w:szCs w:val="14"/>
                <w:lang w:eastAsia="es-MX"/>
              </w:rPr>
            </w:pPr>
          </w:p>
        </w:tc>
      </w:tr>
    </w:tbl>
    <w:p w14:paraId="6A80C8A6" w14:textId="77777777" w:rsidR="00637134" w:rsidRDefault="00637134" w:rsidP="00121C87">
      <w:pPr>
        <w:spacing w:after="120" w:line="250" w:lineRule="exact"/>
        <w:rPr>
          <w:rFonts w:ascii="Noto Sans" w:hAnsi="Noto Sans" w:cs="Noto Sans"/>
          <w:sz w:val="18"/>
          <w:szCs w:val="18"/>
        </w:rPr>
      </w:pPr>
    </w:p>
    <w:p w14:paraId="71A8FA10" w14:textId="77777777" w:rsidR="00637134" w:rsidRDefault="00637134" w:rsidP="00121C87">
      <w:pPr>
        <w:spacing w:after="120" w:line="250" w:lineRule="exact"/>
        <w:rPr>
          <w:rFonts w:ascii="Noto Sans" w:hAnsi="Noto Sans" w:cs="Noto Sans"/>
          <w:sz w:val="18"/>
          <w:szCs w:val="18"/>
        </w:rPr>
      </w:pPr>
    </w:p>
    <w:p w14:paraId="312090B1" w14:textId="1EAE0659" w:rsidR="00DD7DAA" w:rsidRPr="00637134" w:rsidRDefault="004C1082" w:rsidP="00DD7DAA">
      <w:pPr>
        <w:pStyle w:val="Prrafodelista"/>
        <w:numPr>
          <w:ilvl w:val="0"/>
          <w:numId w:val="31"/>
        </w:numPr>
        <w:spacing w:after="120" w:line="250" w:lineRule="exact"/>
        <w:ind w:left="357" w:hanging="357"/>
        <w:rPr>
          <w:rFonts w:ascii="Noto Sans" w:hAnsi="Noto Sans" w:cs="Noto Sans"/>
          <w:sz w:val="18"/>
          <w:szCs w:val="18"/>
        </w:rPr>
      </w:pPr>
      <w:r w:rsidRPr="004C1082">
        <w:rPr>
          <w:rFonts w:ascii="Noto Sans" w:hAnsi="Noto Sans" w:cs="Noto Sans"/>
          <w:sz w:val="18"/>
          <w:szCs w:val="18"/>
        </w:rPr>
        <w:lastRenderedPageBreak/>
        <w:t>5.</w:t>
      </w:r>
      <w:r>
        <w:rPr>
          <w:rFonts w:ascii="Noto Sans" w:hAnsi="Noto Sans" w:cs="Noto Sans"/>
          <w:sz w:val="18"/>
          <w:szCs w:val="18"/>
        </w:rPr>
        <w:t xml:space="preserve">2 </w:t>
      </w:r>
      <w:r w:rsidR="00D8767E" w:rsidRPr="00D8767E">
        <w:rPr>
          <w:rFonts w:ascii="Noto Sans" w:hAnsi="Noto Sans" w:cs="Noto Sans"/>
          <w:sz w:val="18"/>
          <w:szCs w:val="18"/>
        </w:rPr>
        <w:t xml:space="preserve">Al </w:t>
      </w:r>
      <w:r w:rsidR="001D42C8" w:rsidRPr="002D6935">
        <w:rPr>
          <w:rFonts w:ascii="Noto Sans" w:hAnsi="Noto Sans" w:cs="Noto Sans"/>
          <w:sz w:val="18"/>
          <w:szCs w:val="18"/>
        </w:rPr>
        <w:t>30 de junio</w:t>
      </w:r>
      <w:r w:rsidR="001D42C8" w:rsidRPr="002B3F78">
        <w:rPr>
          <w:rFonts w:cs="Noto Sans"/>
          <w:szCs w:val="18"/>
        </w:rPr>
        <w:t xml:space="preserve"> </w:t>
      </w:r>
      <w:r w:rsidR="00D8767E" w:rsidRPr="00D8767E">
        <w:rPr>
          <w:rFonts w:ascii="Noto Sans" w:hAnsi="Noto Sans" w:cs="Noto Sans"/>
          <w:sz w:val="18"/>
          <w:szCs w:val="18"/>
        </w:rPr>
        <w:t>de 2025 y 31 de diciembre de 2024</w:t>
      </w:r>
      <w:r w:rsidRPr="004C1082">
        <w:rPr>
          <w:rFonts w:ascii="Noto Sans" w:hAnsi="Noto Sans" w:cs="Noto Sans"/>
          <w:sz w:val="18"/>
          <w:szCs w:val="18"/>
        </w:rPr>
        <w:t>, las adquisiciones de Actividades de Inversión efectivamente pagadas se integra de la siguiente manera:</w:t>
      </w: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DD7DAA" w:rsidRPr="005946C5" w14:paraId="5C0E576E" w14:textId="77777777" w:rsidTr="00660031">
        <w:trPr>
          <w:trHeight w:val="200"/>
          <w:jc w:val="center"/>
        </w:trPr>
        <w:tc>
          <w:tcPr>
            <w:tcW w:w="9396" w:type="dxa"/>
            <w:gridSpan w:val="3"/>
            <w:tcBorders>
              <w:top w:val="double" w:sz="12" w:space="0" w:color="A6802D"/>
              <w:left w:val="nil"/>
              <w:bottom w:val="single" w:sz="12" w:space="0" w:color="FFFFFF" w:themeColor="background1"/>
            </w:tcBorders>
            <w:shd w:val="clear" w:color="auto" w:fill="A6802D"/>
            <w:vAlign w:val="center"/>
          </w:tcPr>
          <w:p w14:paraId="495BA679"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Adquisiciones de Actividades de Inversión efectivamente pagadas</w:t>
            </w:r>
          </w:p>
        </w:tc>
      </w:tr>
      <w:tr w:rsidR="00DD7DAA" w:rsidRPr="005946C5" w14:paraId="0781117E" w14:textId="77777777" w:rsidTr="00660031">
        <w:trPr>
          <w:trHeight w:val="83"/>
          <w:jc w:val="center"/>
        </w:trPr>
        <w:tc>
          <w:tcPr>
            <w:tcW w:w="5475" w:type="dxa"/>
            <w:vMerge w:val="restart"/>
            <w:tcBorders>
              <w:left w:val="nil"/>
              <w:right w:val="single" w:sz="12" w:space="0" w:color="FFFFFF"/>
            </w:tcBorders>
            <w:shd w:val="clear" w:color="auto" w:fill="A6802D"/>
            <w:vAlign w:val="center"/>
            <w:hideMark/>
          </w:tcPr>
          <w:p w14:paraId="2D3D113F"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left w:val="nil"/>
              <w:bottom w:val="single" w:sz="12" w:space="0" w:color="FFFFFF"/>
            </w:tcBorders>
            <w:shd w:val="clear" w:color="auto" w:fill="A6802D"/>
            <w:vAlign w:val="center"/>
            <w:hideMark/>
          </w:tcPr>
          <w:p w14:paraId="1ACB6226"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D7DAA" w:rsidRPr="005946C5" w14:paraId="3F071F26" w14:textId="77777777" w:rsidTr="00655E4E">
        <w:trPr>
          <w:trHeight w:val="28"/>
          <w:jc w:val="center"/>
        </w:trPr>
        <w:tc>
          <w:tcPr>
            <w:tcW w:w="5475" w:type="dxa"/>
            <w:vMerge/>
            <w:tcBorders>
              <w:left w:val="nil"/>
              <w:bottom w:val="triple" w:sz="12" w:space="0" w:color="A6802D"/>
              <w:right w:val="single" w:sz="12" w:space="0" w:color="FFFFFF"/>
            </w:tcBorders>
            <w:shd w:val="clear" w:color="auto" w:fill="A6802D"/>
            <w:vAlign w:val="center"/>
            <w:hideMark/>
          </w:tcPr>
          <w:p w14:paraId="7D88BF66"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0223A7D7" w14:textId="02E8C980" w:rsidR="00DD7DAA" w:rsidRPr="008E629A" w:rsidRDefault="00861D75" w:rsidP="00655E4E">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2025</w:t>
            </w:r>
          </w:p>
        </w:tc>
        <w:tc>
          <w:tcPr>
            <w:tcW w:w="1961" w:type="dxa"/>
            <w:tcBorders>
              <w:top w:val="nil"/>
              <w:left w:val="nil"/>
              <w:bottom w:val="triple" w:sz="12" w:space="0" w:color="A6802D"/>
            </w:tcBorders>
            <w:shd w:val="clear" w:color="auto" w:fill="A6802D"/>
            <w:vAlign w:val="center"/>
          </w:tcPr>
          <w:p w14:paraId="2CEA9948" w14:textId="0C65B1B6" w:rsidR="00DD7DAA" w:rsidRPr="008E629A" w:rsidRDefault="00DD7DA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893D71" w:rsidRPr="005946C5" w14:paraId="0A4A5FD5" w14:textId="77777777" w:rsidTr="005A043B">
        <w:trPr>
          <w:trHeight w:val="283"/>
          <w:jc w:val="center"/>
        </w:trPr>
        <w:tc>
          <w:tcPr>
            <w:tcW w:w="5475" w:type="dxa"/>
            <w:tcBorders>
              <w:top w:val="triple" w:sz="12" w:space="0" w:color="A6802D"/>
              <w:left w:val="nil"/>
              <w:bottom w:val="nil"/>
              <w:right w:val="nil"/>
            </w:tcBorders>
            <w:shd w:val="clear" w:color="000000" w:fill="F2F2F2"/>
            <w:vAlign w:val="center"/>
          </w:tcPr>
          <w:p w14:paraId="0F42C3EF" w14:textId="77777777" w:rsidR="00893D71" w:rsidRPr="00DD7DAA" w:rsidRDefault="00893D71" w:rsidP="00893D71">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Bienes Inmuebles, Infraestructura y Construcciones en Proceso</w:t>
            </w:r>
          </w:p>
        </w:tc>
        <w:tc>
          <w:tcPr>
            <w:tcW w:w="1960" w:type="dxa"/>
            <w:tcBorders>
              <w:top w:val="nil"/>
              <w:left w:val="nil"/>
              <w:bottom w:val="nil"/>
              <w:right w:val="nil"/>
            </w:tcBorders>
            <w:shd w:val="clear" w:color="000000" w:fill="F2F2F2"/>
            <w:vAlign w:val="center"/>
          </w:tcPr>
          <w:p w14:paraId="0F63541C" w14:textId="383C1901"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2,698,195,838.5</w:t>
            </w:r>
          </w:p>
        </w:tc>
        <w:tc>
          <w:tcPr>
            <w:tcW w:w="1961" w:type="dxa"/>
            <w:tcBorders>
              <w:top w:val="triple" w:sz="12" w:space="0" w:color="A6802D"/>
              <w:left w:val="nil"/>
              <w:bottom w:val="nil"/>
              <w:right w:val="nil"/>
            </w:tcBorders>
            <w:shd w:val="clear" w:color="000000" w:fill="F2F2F2"/>
            <w:vAlign w:val="center"/>
          </w:tcPr>
          <w:p w14:paraId="709E770F" w14:textId="7C8963FF"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7,285,334,474.6</w:t>
            </w:r>
          </w:p>
        </w:tc>
      </w:tr>
      <w:tr w:rsidR="00893D71" w:rsidRPr="00FC0913" w14:paraId="0D3AC438" w14:textId="77777777" w:rsidTr="00B85753">
        <w:trPr>
          <w:trHeight w:val="283"/>
          <w:jc w:val="center"/>
        </w:trPr>
        <w:tc>
          <w:tcPr>
            <w:tcW w:w="5475" w:type="dxa"/>
            <w:tcBorders>
              <w:top w:val="nil"/>
              <w:left w:val="nil"/>
              <w:bottom w:val="nil"/>
              <w:right w:val="nil"/>
            </w:tcBorders>
            <w:shd w:val="clear" w:color="000000" w:fill="F2F2F2"/>
            <w:vAlign w:val="center"/>
          </w:tcPr>
          <w:p w14:paraId="624B18B6"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Edificios no Habitacionales</w:t>
            </w:r>
          </w:p>
        </w:tc>
        <w:tc>
          <w:tcPr>
            <w:tcW w:w="1960" w:type="dxa"/>
            <w:tcBorders>
              <w:top w:val="nil"/>
              <w:left w:val="nil"/>
              <w:bottom w:val="nil"/>
              <w:right w:val="nil"/>
            </w:tcBorders>
            <w:shd w:val="clear" w:color="000000" w:fill="F2F2F2"/>
            <w:vAlign w:val="center"/>
          </w:tcPr>
          <w:p w14:paraId="75FFF001" w14:textId="5431ABF9" w:rsidR="00893D71" w:rsidRPr="00DD7DAA" w:rsidRDefault="00393E12"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2,292,521,519.5</w:t>
            </w:r>
          </w:p>
        </w:tc>
        <w:tc>
          <w:tcPr>
            <w:tcW w:w="1961" w:type="dxa"/>
            <w:tcBorders>
              <w:top w:val="nil"/>
              <w:left w:val="nil"/>
              <w:bottom w:val="nil"/>
              <w:right w:val="nil"/>
            </w:tcBorders>
            <w:shd w:val="clear" w:color="000000" w:fill="F2F2F2"/>
            <w:vAlign w:val="center"/>
          </w:tcPr>
          <w:p w14:paraId="76A75A29" w14:textId="28FDEBA6"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1,251,536,138.8</w:t>
            </w:r>
          </w:p>
        </w:tc>
      </w:tr>
      <w:tr w:rsidR="00893D71" w:rsidRPr="00FC0913" w14:paraId="5E814853" w14:textId="77777777" w:rsidTr="00B85753">
        <w:trPr>
          <w:trHeight w:val="283"/>
          <w:jc w:val="center"/>
        </w:trPr>
        <w:tc>
          <w:tcPr>
            <w:tcW w:w="5475" w:type="dxa"/>
            <w:tcBorders>
              <w:top w:val="nil"/>
              <w:left w:val="nil"/>
              <w:bottom w:val="nil"/>
              <w:right w:val="nil"/>
            </w:tcBorders>
            <w:shd w:val="clear" w:color="000000" w:fill="F2F2F2"/>
            <w:vAlign w:val="center"/>
          </w:tcPr>
          <w:p w14:paraId="22864C6C"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Terrenos</w:t>
            </w:r>
          </w:p>
        </w:tc>
        <w:tc>
          <w:tcPr>
            <w:tcW w:w="1960" w:type="dxa"/>
            <w:tcBorders>
              <w:top w:val="nil"/>
              <w:left w:val="nil"/>
              <w:bottom w:val="nil"/>
              <w:right w:val="nil"/>
            </w:tcBorders>
            <w:shd w:val="clear" w:color="000000" w:fill="F2F2F2"/>
            <w:vAlign w:val="center"/>
          </w:tcPr>
          <w:p w14:paraId="152E87EE" w14:textId="1F81A32D" w:rsidR="00893D71" w:rsidRPr="00DD7DAA" w:rsidRDefault="00393E12"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35216DE2" w14:textId="093A34E8"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-1,641,898.6</w:t>
            </w:r>
          </w:p>
        </w:tc>
      </w:tr>
      <w:tr w:rsidR="00893D71" w:rsidRPr="00FC0913" w14:paraId="03D79B05" w14:textId="77777777" w:rsidTr="00B85753">
        <w:trPr>
          <w:trHeight w:val="283"/>
          <w:jc w:val="center"/>
        </w:trPr>
        <w:tc>
          <w:tcPr>
            <w:tcW w:w="5475" w:type="dxa"/>
            <w:tcBorders>
              <w:top w:val="nil"/>
              <w:left w:val="nil"/>
              <w:bottom w:val="nil"/>
              <w:right w:val="nil"/>
            </w:tcBorders>
            <w:shd w:val="clear" w:color="000000" w:fill="F2F2F2"/>
            <w:vAlign w:val="center"/>
          </w:tcPr>
          <w:p w14:paraId="20C06E19"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Construcciones en Proceso en Bienes Propios</w:t>
            </w:r>
          </w:p>
        </w:tc>
        <w:tc>
          <w:tcPr>
            <w:tcW w:w="1960" w:type="dxa"/>
            <w:tcBorders>
              <w:top w:val="nil"/>
              <w:left w:val="nil"/>
              <w:bottom w:val="nil"/>
              <w:right w:val="nil"/>
            </w:tcBorders>
            <w:shd w:val="clear" w:color="000000" w:fill="F2F2F2"/>
            <w:vAlign w:val="center"/>
          </w:tcPr>
          <w:p w14:paraId="114C75AC" w14:textId="0D18D931"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405,674,319.0</w:t>
            </w:r>
          </w:p>
        </w:tc>
        <w:tc>
          <w:tcPr>
            <w:tcW w:w="1961" w:type="dxa"/>
            <w:tcBorders>
              <w:top w:val="nil"/>
              <w:left w:val="nil"/>
              <w:bottom w:val="nil"/>
              <w:right w:val="nil"/>
            </w:tcBorders>
            <w:shd w:val="clear" w:color="000000" w:fill="F2F2F2"/>
            <w:vAlign w:val="center"/>
          </w:tcPr>
          <w:p w14:paraId="3D4B10FD" w14:textId="097F5AC8"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6,035,440,234.4</w:t>
            </w:r>
          </w:p>
        </w:tc>
      </w:tr>
      <w:tr w:rsidR="00893D71" w:rsidRPr="00FC0913" w14:paraId="5AB7D4B4" w14:textId="77777777" w:rsidTr="00B85753">
        <w:trPr>
          <w:trHeight w:val="283"/>
          <w:jc w:val="center"/>
        </w:trPr>
        <w:tc>
          <w:tcPr>
            <w:tcW w:w="5475" w:type="dxa"/>
            <w:tcBorders>
              <w:top w:val="nil"/>
              <w:left w:val="nil"/>
              <w:bottom w:val="nil"/>
              <w:right w:val="nil"/>
            </w:tcBorders>
            <w:shd w:val="clear" w:color="000000" w:fill="F2F2F2"/>
            <w:vAlign w:val="center"/>
          </w:tcPr>
          <w:p w14:paraId="0162D1E2" w14:textId="77777777" w:rsidR="00893D71" w:rsidRPr="00DD7DAA" w:rsidRDefault="00893D71" w:rsidP="00893D71">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Bienes Muebles</w:t>
            </w:r>
          </w:p>
        </w:tc>
        <w:tc>
          <w:tcPr>
            <w:tcW w:w="1960" w:type="dxa"/>
            <w:tcBorders>
              <w:top w:val="nil"/>
              <w:left w:val="nil"/>
              <w:bottom w:val="nil"/>
              <w:right w:val="nil"/>
            </w:tcBorders>
            <w:shd w:val="clear" w:color="000000" w:fill="F2F2F2"/>
            <w:vAlign w:val="center"/>
          </w:tcPr>
          <w:p w14:paraId="471A6E05" w14:textId="0D50D1F8"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82,063,975.7</w:t>
            </w:r>
          </w:p>
        </w:tc>
        <w:tc>
          <w:tcPr>
            <w:tcW w:w="1961" w:type="dxa"/>
            <w:tcBorders>
              <w:top w:val="nil"/>
              <w:left w:val="nil"/>
              <w:bottom w:val="nil"/>
              <w:right w:val="nil"/>
            </w:tcBorders>
            <w:shd w:val="clear" w:color="000000" w:fill="F2F2F2"/>
            <w:vAlign w:val="center"/>
          </w:tcPr>
          <w:p w14:paraId="5BFB8205" w14:textId="716A1A6C"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5,975,441,547.1</w:t>
            </w:r>
          </w:p>
        </w:tc>
      </w:tr>
      <w:tr w:rsidR="00893D71" w:rsidRPr="00FC0913" w14:paraId="0C5C7A06" w14:textId="77777777" w:rsidTr="00B85753">
        <w:trPr>
          <w:trHeight w:val="283"/>
          <w:jc w:val="center"/>
        </w:trPr>
        <w:tc>
          <w:tcPr>
            <w:tcW w:w="5475" w:type="dxa"/>
            <w:tcBorders>
              <w:top w:val="nil"/>
              <w:left w:val="nil"/>
              <w:bottom w:val="nil"/>
              <w:right w:val="nil"/>
            </w:tcBorders>
            <w:shd w:val="clear" w:color="000000" w:fill="F2F2F2"/>
            <w:vAlign w:val="center"/>
          </w:tcPr>
          <w:p w14:paraId="5967E3E4"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Mobiliario y Equipo de Administración</w:t>
            </w:r>
          </w:p>
        </w:tc>
        <w:tc>
          <w:tcPr>
            <w:tcW w:w="1960" w:type="dxa"/>
            <w:tcBorders>
              <w:top w:val="nil"/>
              <w:left w:val="nil"/>
              <w:bottom w:val="nil"/>
              <w:right w:val="nil"/>
            </w:tcBorders>
            <w:shd w:val="clear" w:color="000000" w:fill="F2F2F2"/>
            <w:vAlign w:val="center"/>
          </w:tcPr>
          <w:p w14:paraId="019E8E41" w14:textId="7093CE2A"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17,445,847.9</w:t>
            </w:r>
          </w:p>
        </w:tc>
        <w:tc>
          <w:tcPr>
            <w:tcW w:w="1961" w:type="dxa"/>
            <w:tcBorders>
              <w:top w:val="nil"/>
              <w:left w:val="nil"/>
              <w:bottom w:val="nil"/>
              <w:right w:val="nil"/>
            </w:tcBorders>
            <w:shd w:val="clear" w:color="000000" w:fill="F2F2F2"/>
            <w:vAlign w:val="center"/>
          </w:tcPr>
          <w:p w14:paraId="3AC400B9" w14:textId="117CD413"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2,922,782,348.7</w:t>
            </w:r>
          </w:p>
        </w:tc>
      </w:tr>
      <w:tr w:rsidR="00893D71" w:rsidRPr="00FC0913" w14:paraId="51552159" w14:textId="77777777" w:rsidTr="00B85753">
        <w:trPr>
          <w:trHeight w:val="283"/>
          <w:jc w:val="center"/>
        </w:trPr>
        <w:tc>
          <w:tcPr>
            <w:tcW w:w="5475" w:type="dxa"/>
            <w:tcBorders>
              <w:top w:val="nil"/>
              <w:left w:val="nil"/>
              <w:bottom w:val="nil"/>
              <w:right w:val="nil"/>
            </w:tcBorders>
            <w:shd w:val="clear" w:color="000000" w:fill="F2F2F2"/>
            <w:vAlign w:val="center"/>
          </w:tcPr>
          <w:p w14:paraId="52C1FBB0"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Equipo e Instrumental Médico y de Laboratorio</w:t>
            </w:r>
          </w:p>
        </w:tc>
        <w:tc>
          <w:tcPr>
            <w:tcW w:w="1960" w:type="dxa"/>
            <w:tcBorders>
              <w:top w:val="nil"/>
              <w:left w:val="nil"/>
              <w:bottom w:val="nil"/>
              <w:right w:val="nil"/>
            </w:tcBorders>
            <w:shd w:val="clear" w:color="000000" w:fill="F2F2F2"/>
            <w:vAlign w:val="center"/>
          </w:tcPr>
          <w:p w14:paraId="76E18206" w14:textId="71590E80"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156,135,325.7</w:t>
            </w:r>
          </w:p>
        </w:tc>
        <w:tc>
          <w:tcPr>
            <w:tcW w:w="1961" w:type="dxa"/>
            <w:tcBorders>
              <w:top w:val="nil"/>
              <w:left w:val="nil"/>
              <w:bottom w:val="nil"/>
              <w:right w:val="nil"/>
            </w:tcBorders>
            <w:shd w:val="clear" w:color="000000" w:fill="F2F2F2"/>
            <w:vAlign w:val="center"/>
          </w:tcPr>
          <w:p w14:paraId="44462062" w14:textId="503A71F3"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2,458,486,791.3</w:t>
            </w:r>
          </w:p>
        </w:tc>
      </w:tr>
      <w:tr w:rsidR="00893D71" w:rsidRPr="00FC0913" w14:paraId="7D4CBF19" w14:textId="77777777" w:rsidTr="00B85753">
        <w:trPr>
          <w:trHeight w:val="283"/>
          <w:jc w:val="center"/>
        </w:trPr>
        <w:tc>
          <w:tcPr>
            <w:tcW w:w="5475" w:type="dxa"/>
            <w:tcBorders>
              <w:top w:val="nil"/>
              <w:left w:val="nil"/>
              <w:bottom w:val="nil"/>
              <w:right w:val="nil"/>
            </w:tcBorders>
            <w:shd w:val="clear" w:color="000000" w:fill="F2F2F2"/>
            <w:vAlign w:val="center"/>
          </w:tcPr>
          <w:p w14:paraId="49ED33B1"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Mobiliario y Equipo Educacional y Recreativo</w:t>
            </w:r>
          </w:p>
        </w:tc>
        <w:tc>
          <w:tcPr>
            <w:tcW w:w="1960" w:type="dxa"/>
            <w:tcBorders>
              <w:top w:val="nil"/>
              <w:left w:val="nil"/>
              <w:bottom w:val="nil"/>
              <w:right w:val="nil"/>
            </w:tcBorders>
            <w:shd w:val="clear" w:color="000000" w:fill="F2F2F2"/>
            <w:vAlign w:val="center"/>
          </w:tcPr>
          <w:p w14:paraId="2BE4D768" w14:textId="008E3E6A"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-542,764.0</w:t>
            </w:r>
          </w:p>
        </w:tc>
        <w:tc>
          <w:tcPr>
            <w:tcW w:w="1961" w:type="dxa"/>
            <w:tcBorders>
              <w:top w:val="nil"/>
              <w:left w:val="nil"/>
              <w:bottom w:val="nil"/>
              <w:right w:val="nil"/>
            </w:tcBorders>
            <w:shd w:val="clear" w:color="000000" w:fill="F2F2F2"/>
            <w:vAlign w:val="center"/>
          </w:tcPr>
          <w:p w14:paraId="05287CEA" w14:textId="3FDA2C80"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1,138,769.0</w:t>
            </w:r>
          </w:p>
        </w:tc>
      </w:tr>
      <w:tr w:rsidR="00893D71" w:rsidRPr="00FC0913" w14:paraId="1C360E42" w14:textId="77777777" w:rsidTr="00B85753">
        <w:trPr>
          <w:trHeight w:val="283"/>
          <w:jc w:val="center"/>
        </w:trPr>
        <w:tc>
          <w:tcPr>
            <w:tcW w:w="5475" w:type="dxa"/>
            <w:tcBorders>
              <w:top w:val="nil"/>
              <w:left w:val="nil"/>
              <w:bottom w:val="nil"/>
              <w:right w:val="nil"/>
            </w:tcBorders>
            <w:shd w:val="clear" w:color="000000" w:fill="F2F2F2"/>
            <w:vAlign w:val="center"/>
          </w:tcPr>
          <w:p w14:paraId="044C14BA"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Vehículos y Equipo de Transporte</w:t>
            </w:r>
          </w:p>
        </w:tc>
        <w:tc>
          <w:tcPr>
            <w:tcW w:w="1960" w:type="dxa"/>
            <w:tcBorders>
              <w:top w:val="nil"/>
              <w:left w:val="nil"/>
              <w:bottom w:val="nil"/>
              <w:right w:val="nil"/>
            </w:tcBorders>
            <w:shd w:val="clear" w:color="000000" w:fill="F2F2F2"/>
            <w:vAlign w:val="center"/>
          </w:tcPr>
          <w:p w14:paraId="75C3D3BF" w14:textId="6BFD0A00"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3,206,610.8</w:t>
            </w:r>
          </w:p>
        </w:tc>
        <w:tc>
          <w:tcPr>
            <w:tcW w:w="1961" w:type="dxa"/>
            <w:tcBorders>
              <w:top w:val="nil"/>
              <w:left w:val="nil"/>
              <w:bottom w:val="nil"/>
              <w:right w:val="nil"/>
            </w:tcBorders>
            <w:shd w:val="clear" w:color="000000" w:fill="F2F2F2"/>
            <w:vAlign w:val="center"/>
          </w:tcPr>
          <w:p w14:paraId="749F3EB8" w14:textId="3EA15BB1"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120,391,195.4</w:t>
            </w:r>
          </w:p>
        </w:tc>
      </w:tr>
      <w:tr w:rsidR="00893D71" w:rsidRPr="00FC0913" w14:paraId="7CE5C08F" w14:textId="77777777" w:rsidTr="00B85753">
        <w:trPr>
          <w:trHeight w:val="283"/>
          <w:jc w:val="center"/>
        </w:trPr>
        <w:tc>
          <w:tcPr>
            <w:tcW w:w="5475" w:type="dxa"/>
            <w:tcBorders>
              <w:top w:val="nil"/>
              <w:left w:val="nil"/>
              <w:bottom w:val="nil"/>
              <w:right w:val="nil"/>
            </w:tcBorders>
            <w:shd w:val="clear" w:color="000000" w:fill="F2F2F2"/>
            <w:vAlign w:val="center"/>
          </w:tcPr>
          <w:p w14:paraId="60CDC5BA"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Maquinaria, Otros Equipos y Herramientas</w:t>
            </w:r>
          </w:p>
        </w:tc>
        <w:tc>
          <w:tcPr>
            <w:tcW w:w="1960" w:type="dxa"/>
            <w:tcBorders>
              <w:top w:val="nil"/>
              <w:left w:val="nil"/>
              <w:bottom w:val="nil"/>
              <w:right w:val="nil"/>
            </w:tcBorders>
            <w:shd w:val="clear" w:color="000000" w:fill="F2F2F2"/>
            <w:vAlign w:val="center"/>
          </w:tcPr>
          <w:p w14:paraId="512762E9" w14:textId="65758342"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-94,181,044.7</w:t>
            </w:r>
          </w:p>
        </w:tc>
        <w:tc>
          <w:tcPr>
            <w:tcW w:w="1961" w:type="dxa"/>
            <w:tcBorders>
              <w:top w:val="nil"/>
              <w:left w:val="nil"/>
              <w:bottom w:val="nil"/>
              <w:right w:val="nil"/>
            </w:tcBorders>
            <w:shd w:val="clear" w:color="000000" w:fill="F2F2F2"/>
            <w:vAlign w:val="center"/>
          </w:tcPr>
          <w:p w14:paraId="6F0A6586" w14:textId="043A35D6"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472,989,709.6</w:t>
            </w:r>
          </w:p>
        </w:tc>
      </w:tr>
      <w:tr w:rsidR="00893D71" w:rsidRPr="00FC0913" w14:paraId="7F7378E5" w14:textId="77777777" w:rsidTr="00B85753">
        <w:trPr>
          <w:trHeight w:val="283"/>
          <w:jc w:val="center"/>
        </w:trPr>
        <w:tc>
          <w:tcPr>
            <w:tcW w:w="5475" w:type="dxa"/>
            <w:tcBorders>
              <w:top w:val="nil"/>
              <w:left w:val="nil"/>
              <w:bottom w:val="nil"/>
              <w:right w:val="nil"/>
            </w:tcBorders>
            <w:shd w:val="clear" w:color="000000" w:fill="F2F2F2"/>
            <w:vAlign w:val="center"/>
          </w:tcPr>
          <w:p w14:paraId="151929F5" w14:textId="77777777" w:rsidR="00893D71" w:rsidRPr="00DD7DAA" w:rsidRDefault="00893D71" w:rsidP="00893D71">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Colecciones, Obras de Arte y Objetos Valiosos</w:t>
            </w:r>
          </w:p>
        </w:tc>
        <w:tc>
          <w:tcPr>
            <w:tcW w:w="1960" w:type="dxa"/>
            <w:tcBorders>
              <w:top w:val="nil"/>
              <w:left w:val="nil"/>
              <w:bottom w:val="nil"/>
              <w:right w:val="nil"/>
            </w:tcBorders>
            <w:shd w:val="clear" w:color="000000" w:fill="F2F2F2"/>
            <w:vAlign w:val="center"/>
          </w:tcPr>
          <w:p w14:paraId="016B6729" w14:textId="68395783"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0.0</w:t>
            </w:r>
          </w:p>
        </w:tc>
        <w:tc>
          <w:tcPr>
            <w:tcW w:w="1961" w:type="dxa"/>
            <w:tcBorders>
              <w:top w:val="nil"/>
              <w:left w:val="nil"/>
              <w:bottom w:val="nil"/>
              <w:right w:val="nil"/>
            </w:tcBorders>
            <w:shd w:val="clear" w:color="000000" w:fill="F2F2F2"/>
            <w:vAlign w:val="center"/>
          </w:tcPr>
          <w:p w14:paraId="10614A7E" w14:textId="77FAC687" w:rsidR="00893D71" w:rsidRPr="00DD7DAA" w:rsidRDefault="00893D71" w:rsidP="00893D71">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-347,266.9</w:t>
            </w:r>
          </w:p>
        </w:tc>
      </w:tr>
      <w:tr w:rsidR="00893D71" w:rsidRPr="00FC0913" w14:paraId="2DCB3823" w14:textId="77777777" w:rsidTr="00B85753">
        <w:trPr>
          <w:trHeight w:val="283"/>
          <w:jc w:val="center"/>
        </w:trPr>
        <w:tc>
          <w:tcPr>
            <w:tcW w:w="5475" w:type="dxa"/>
            <w:tcBorders>
              <w:top w:val="nil"/>
              <w:left w:val="nil"/>
              <w:bottom w:val="nil"/>
              <w:right w:val="nil"/>
            </w:tcBorders>
            <w:shd w:val="clear" w:color="000000" w:fill="F2F2F2"/>
            <w:vAlign w:val="center"/>
          </w:tcPr>
          <w:p w14:paraId="0BF1EC95" w14:textId="77777777" w:rsidR="00893D71" w:rsidRPr="00DD7DAA" w:rsidRDefault="00893D71" w:rsidP="00893D71">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Otras Inversiones</w:t>
            </w:r>
          </w:p>
        </w:tc>
        <w:tc>
          <w:tcPr>
            <w:tcW w:w="1960" w:type="dxa"/>
            <w:tcBorders>
              <w:top w:val="nil"/>
              <w:left w:val="nil"/>
              <w:bottom w:val="nil"/>
              <w:right w:val="nil"/>
            </w:tcBorders>
            <w:shd w:val="clear" w:color="000000" w:fill="F2F2F2"/>
            <w:vAlign w:val="center"/>
          </w:tcPr>
          <w:p w14:paraId="5B0DC3E7" w14:textId="7ADF22F0"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8,790,358,225.0</w:t>
            </w:r>
          </w:p>
        </w:tc>
        <w:tc>
          <w:tcPr>
            <w:tcW w:w="1961" w:type="dxa"/>
            <w:tcBorders>
              <w:top w:val="nil"/>
              <w:left w:val="nil"/>
              <w:bottom w:val="nil"/>
              <w:right w:val="nil"/>
            </w:tcBorders>
            <w:shd w:val="clear" w:color="000000" w:fill="F2F2F2"/>
            <w:vAlign w:val="center"/>
          </w:tcPr>
          <w:p w14:paraId="3A216277" w14:textId="741888FF"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49,605,981,296.9</w:t>
            </w:r>
          </w:p>
        </w:tc>
      </w:tr>
      <w:tr w:rsidR="00893D71" w:rsidRPr="005946C5" w14:paraId="4EF31300" w14:textId="77777777" w:rsidTr="00B85753">
        <w:trPr>
          <w:trHeight w:val="283"/>
          <w:jc w:val="center"/>
        </w:trPr>
        <w:tc>
          <w:tcPr>
            <w:tcW w:w="5475" w:type="dxa"/>
            <w:tcBorders>
              <w:top w:val="nil"/>
              <w:left w:val="nil"/>
              <w:bottom w:val="single" w:sz="12" w:space="0" w:color="A6802D"/>
              <w:right w:val="nil"/>
            </w:tcBorders>
            <w:shd w:val="clear" w:color="000000" w:fill="F2F2F2"/>
            <w:vAlign w:val="center"/>
          </w:tcPr>
          <w:p w14:paraId="68356670" w14:textId="77777777" w:rsidR="00893D71" w:rsidRPr="00DD7DAA" w:rsidRDefault="00893D71" w:rsidP="00893D71">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Total</w:t>
            </w:r>
          </w:p>
        </w:tc>
        <w:tc>
          <w:tcPr>
            <w:tcW w:w="1960" w:type="dxa"/>
            <w:tcBorders>
              <w:top w:val="nil"/>
              <w:left w:val="nil"/>
              <w:bottom w:val="single" w:sz="12" w:space="0" w:color="A6802D"/>
              <w:right w:val="nil"/>
            </w:tcBorders>
            <w:shd w:val="clear" w:color="000000" w:fill="F2F2F2"/>
            <w:vAlign w:val="center"/>
          </w:tcPr>
          <w:p w14:paraId="63A7BAB7" w14:textId="5D4C5609"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11,570,618,039.2</w:t>
            </w:r>
          </w:p>
        </w:tc>
        <w:tc>
          <w:tcPr>
            <w:tcW w:w="1961" w:type="dxa"/>
            <w:tcBorders>
              <w:top w:val="nil"/>
              <w:left w:val="nil"/>
              <w:bottom w:val="single" w:sz="12" w:space="0" w:color="A6802D"/>
              <w:right w:val="nil"/>
            </w:tcBorders>
            <w:shd w:val="clear" w:color="000000" w:fill="F2F2F2"/>
            <w:vAlign w:val="center"/>
          </w:tcPr>
          <w:p w14:paraId="34B2EB21" w14:textId="51CCD768" w:rsidR="00893D71" w:rsidRPr="00DD7DAA" w:rsidRDefault="00893D71" w:rsidP="00893D71">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62,866,757,318.6</w:t>
            </w:r>
          </w:p>
        </w:tc>
      </w:tr>
      <w:tr w:rsidR="004D204C" w:rsidRPr="00274555" w14:paraId="53CA0A96" w14:textId="77777777" w:rsidTr="00655E4E">
        <w:trPr>
          <w:trHeight w:val="226"/>
          <w:jc w:val="center"/>
        </w:trPr>
        <w:tc>
          <w:tcPr>
            <w:tcW w:w="5475" w:type="dxa"/>
            <w:tcBorders>
              <w:top w:val="single" w:sz="12" w:space="0" w:color="A6802D"/>
              <w:left w:val="nil"/>
              <w:right w:val="nil"/>
            </w:tcBorders>
            <w:vAlign w:val="center"/>
          </w:tcPr>
          <w:p w14:paraId="5E2CC1D0" w14:textId="77777777" w:rsidR="004D204C" w:rsidRPr="00274555" w:rsidRDefault="004D204C" w:rsidP="004D204C">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76142818" w14:textId="77777777" w:rsidR="004D204C" w:rsidRPr="00274555" w:rsidRDefault="004D204C" w:rsidP="004D204C">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7E531142" w14:textId="77777777" w:rsidR="004D204C" w:rsidRPr="00274555" w:rsidRDefault="004D204C" w:rsidP="004D204C">
            <w:pPr>
              <w:spacing w:after="0" w:line="240" w:lineRule="auto"/>
              <w:jc w:val="both"/>
              <w:rPr>
                <w:rFonts w:ascii="Noto Sans" w:eastAsia="Times New Roman" w:hAnsi="Noto Sans" w:cs="Noto Sans"/>
                <w:b/>
                <w:bCs/>
                <w:color w:val="000000"/>
                <w:sz w:val="14"/>
                <w:szCs w:val="14"/>
                <w:lang w:eastAsia="es-MX"/>
              </w:rPr>
            </w:pPr>
          </w:p>
        </w:tc>
      </w:tr>
    </w:tbl>
    <w:p w14:paraId="000A8A5F" w14:textId="77777777" w:rsidR="00637134" w:rsidRDefault="00637134" w:rsidP="00DD7DAA">
      <w:pPr>
        <w:spacing w:after="120" w:line="250" w:lineRule="exact"/>
        <w:rPr>
          <w:rFonts w:ascii="Noto Sans" w:hAnsi="Noto Sans" w:cs="Noto Sans"/>
          <w:sz w:val="18"/>
          <w:szCs w:val="18"/>
        </w:rPr>
      </w:pPr>
    </w:p>
    <w:p w14:paraId="79026740" w14:textId="77777777" w:rsidR="00637134" w:rsidRDefault="00637134" w:rsidP="00DD7DAA">
      <w:pPr>
        <w:spacing w:after="120" w:line="250" w:lineRule="exact"/>
        <w:rPr>
          <w:rFonts w:ascii="Noto Sans" w:hAnsi="Noto Sans" w:cs="Noto Sans"/>
          <w:sz w:val="18"/>
          <w:szCs w:val="18"/>
        </w:rPr>
      </w:pPr>
    </w:p>
    <w:p w14:paraId="6B131745" w14:textId="77777777" w:rsidR="00637134" w:rsidRDefault="00637134" w:rsidP="00DD7DAA">
      <w:pPr>
        <w:spacing w:after="120" w:line="250" w:lineRule="exact"/>
        <w:rPr>
          <w:rFonts w:ascii="Noto Sans" w:hAnsi="Noto Sans" w:cs="Noto Sans"/>
          <w:sz w:val="18"/>
          <w:szCs w:val="18"/>
        </w:rPr>
      </w:pPr>
    </w:p>
    <w:p w14:paraId="39D8F0D1" w14:textId="77777777" w:rsidR="00637134" w:rsidRDefault="00637134" w:rsidP="00DD7DAA">
      <w:pPr>
        <w:spacing w:after="120" w:line="250" w:lineRule="exact"/>
        <w:rPr>
          <w:rFonts w:ascii="Noto Sans" w:hAnsi="Noto Sans" w:cs="Noto Sans"/>
          <w:sz w:val="18"/>
          <w:szCs w:val="18"/>
        </w:rPr>
      </w:pPr>
    </w:p>
    <w:p w14:paraId="2DA359CC" w14:textId="77777777" w:rsidR="00637134" w:rsidRDefault="00637134" w:rsidP="00DD7DAA">
      <w:pPr>
        <w:spacing w:after="120" w:line="250" w:lineRule="exact"/>
        <w:rPr>
          <w:rFonts w:ascii="Noto Sans" w:hAnsi="Noto Sans" w:cs="Noto Sans"/>
          <w:sz w:val="18"/>
          <w:szCs w:val="18"/>
        </w:rPr>
      </w:pPr>
    </w:p>
    <w:p w14:paraId="4075DFF5" w14:textId="77777777" w:rsidR="00637134" w:rsidRDefault="00637134" w:rsidP="00DD7DAA">
      <w:pPr>
        <w:spacing w:after="120" w:line="250" w:lineRule="exact"/>
        <w:rPr>
          <w:rFonts w:ascii="Noto Sans" w:hAnsi="Noto Sans" w:cs="Noto Sans"/>
          <w:sz w:val="18"/>
          <w:szCs w:val="18"/>
        </w:rPr>
      </w:pPr>
    </w:p>
    <w:p w14:paraId="5C9501EE" w14:textId="77777777" w:rsidR="00637134" w:rsidRDefault="00637134" w:rsidP="00DD7DAA">
      <w:pPr>
        <w:spacing w:after="120" w:line="250" w:lineRule="exact"/>
        <w:rPr>
          <w:rFonts w:ascii="Noto Sans" w:hAnsi="Noto Sans" w:cs="Noto Sans"/>
          <w:sz w:val="18"/>
          <w:szCs w:val="18"/>
        </w:rPr>
      </w:pPr>
    </w:p>
    <w:p w14:paraId="232D4013" w14:textId="77777777" w:rsidR="00637134" w:rsidRDefault="00637134" w:rsidP="00DD7DAA">
      <w:pPr>
        <w:spacing w:after="120" w:line="250" w:lineRule="exact"/>
        <w:rPr>
          <w:rFonts w:ascii="Noto Sans" w:hAnsi="Noto Sans" w:cs="Noto Sans"/>
          <w:sz w:val="18"/>
          <w:szCs w:val="18"/>
        </w:rPr>
      </w:pPr>
    </w:p>
    <w:p w14:paraId="08A350A2" w14:textId="77777777" w:rsidR="00637134" w:rsidRDefault="00637134" w:rsidP="00DD7DAA">
      <w:pPr>
        <w:spacing w:after="120" w:line="250" w:lineRule="exact"/>
        <w:rPr>
          <w:rFonts w:ascii="Noto Sans" w:hAnsi="Noto Sans" w:cs="Noto Sans"/>
          <w:sz w:val="18"/>
          <w:szCs w:val="18"/>
        </w:rPr>
      </w:pPr>
    </w:p>
    <w:p w14:paraId="0A6EC31E" w14:textId="77777777" w:rsidR="00637134" w:rsidRDefault="00637134" w:rsidP="00DD7DAA">
      <w:pPr>
        <w:spacing w:after="120" w:line="250" w:lineRule="exact"/>
        <w:rPr>
          <w:rFonts w:ascii="Noto Sans" w:hAnsi="Noto Sans" w:cs="Noto Sans"/>
          <w:sz w:val="18"/>
          <w:szCs w:val="18"/>
        </w:rPr>
      </w:pPr>
    </w:p>
    <w:p w14:paraId="7AE83E15" w14:textId="35E15085" w:rsidR="00DD7DAA" w:rsidRDefault="00DD7DAA" w:rsidP="00D06BE8">
      <w:pPr>
        <w:pStyle w:val="Prrafodelista"/>
        <w:numPr>
          <w:ilvl w:val="0"/>
          <w:numId w:val="32"/>
        </w:numPr>
        <w:spacing w:after="120" w:line="250" w:lineRule="exact"/>
        <w:ind w:left="357" w:hanging="357"/>
        <w:rPr>
          <w:rFonts w:ascii="Noto Sans" w:hAnsi="Noto Sans" w:cs="Noto Sans"/>
          <w:sz w:val="18"/>
          <w:szCs w:val="18"/>
        </w:rPr>
      </w:pPr>
      <w:r w:rsidRPr="00DD7DAA">
        <w:rPr>
          <w:rFonts w:ascii="Noto Sans" w:hAnsi="Noto Sans" w:cs="Noto Sans"/>
          <w:sz w:val="18"/>
          <w:szCs w:val="18"/>
        </w:rPr>
        <w:lastRenderedPageBreak/>
        <w:t xml:space="preserve">5.3 </w:t>
      </w:r>
      <w:r w:rsidR="004C72F3" w:rsidRPr="004C72F3">
        <w:rPr>
          <w:rFonts w:ascii="Noto Sans" w:hAnsi="Noto Sans" w:cs="Noto Sans"/>
          <w:sz w:val="18"/>
          <w:szCs w:val="18"/>
        </w:rPr>
        <w:t>A</w:t>
      </w:r>
      <w:r w:rsidR="004C72F3" w:rsidRPr="000F4D76">
        <w:rPr>
          <w:rFonts w:ascii="Noto Sans" w:hAnsi="Noto Sans" w:cs="Noto Sans"/>
          <w:sz w:val="18"/>
          <w:szCs w:val="18"/>
        </w:rPr>
        <w:t xml:space="preserve">l </w:t>
      </w:r>
      <w:r w:rsidR="00BD7A33" w:rsidRPr="002B3F78">
        <w:rPr>
          <w:rFonts w:cs="Noto Sans"/>
          <w:szCs w:val="18"/>
        </w:rPr>
        <w:t>3</w:t>
      </w:r>
      <w:r w:rsidR="00BD7A33">
        <w:rPr>
          <w:rFonts w:cs="Noto Sans"/>
          <w:szCs w:val="18"/>
        </w:rPr>
        <w:t>0</w:t>
      </w:r>
      <w:r w:rsidR="00BD7A33" w:rsidRPr="002B3F78">
        <w:rPr>
          <w:rFonts w:cs="Noto Sans"/>
          <w:szCs w:val="18"/>
        </w:rPr>
        <w:t xml:space="preserve"> de </w:t>
      </w:r>
      <w:r w:rsidR="00BD7A33">
        <w:rPr>
          <w:rFonts w:cs="Noto Sans"/>
          <w:szCs w:val="18"/>
        </w:rPr>
        <w:t>junio</w:t>
      </w:r>
      <w:r w:rsidR="00BD7A33" w:rsidRPr="002B3F78">
        <w:rPr>
          <w:rFonts w:cs="Noto Sans"/>
          <w:szCs w:val="18"/>
        </w:rPr>
        <w:t xml:space="preserve"> </w:t>
      </w:r>
      <w:r w:rsidR="004C72F3" w:rsidRPr="000F4D76">
        <w:rPr>
          <w:rFonts w:ascii="Noto Sans" w:hAnsi="Noto Sans" w:cs="Noto Sans"/>
          <w:sz w:val="18"/>
          <w:szCs w:val="18"/>
        </w:rPr>
        <w:t>de 2025 y 31 de diciembre de 2024</w:t>
      </w:r>
      <w:r w:rsidRPr="00DD7DAA">
        <w:rPr>
          <w:rFonts w:ascii="Noto Sans" w:hAnsi="Noto Sans" w:cs="Noto Sans"/>
          <w:sz w:val="18"/>
          <w:szCs w:val="18"/>
        </w:rPr>
        <w:t>, la conciliación de los Flujos Netos de las Actividades de Operación y los saldos de Ahorro / Desahorro se integra de la siguiente manera:</w:t>
      </w:r>
    </w:p>
    <w:p w14:paraId="3AA2A8E9" w14:textId="77777777" w:rsidR="00DD7DAA" w:rsidRPr="00DD7DAA" w:rsidRDefault="00DD7DAA" w:rsidP="00DD7DAA">
      <w:pPr>
        <w:pStyle w:val="Prrafodelista"/>
        <w:spacing w:after="120" w:line="250" w:lineRule="exact"/>
        <w:ind w:left="357"/>
        <w:rPr>
          <w:rFonts w:ascii="Noto San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5475"/>
        <w:gridCol w:w="1960"/>
        <w:gridCol w:w="1961"/>
      </w:tblGrid>
      <w:tr w:rsidR="00DD7DAA" w:rsidRPr="005946C5" w14:paraId="2D87C6DB" w14:textId="77777777" w:rsidTr="00655E4E">
        <w:trPr>
          <w:trHeight w:val="83"/>
          <w:jc w:val="center"/>
        </w:trPr>
        <w:tc>
          <w:tcPr>
            <w:tcW w:w="5475" w:type="dxa"/>
            <w:vMerge w:val="restart"/>
            <w:tcBorders>
              <w:top w:val="double" w:sz="12" w:space="0" w:color="A6802D"/>
              <w:left w:val="nil"/>
              <w:right w:val="single" w:sz="12" w:space="0" w:color="FFFFFF"/>
            </w:tcBorders>
            <w:shd w:val="clear" w:color="auto" w:fill="A6802D"/>
            <w:vAlign w:val="center"/>
            <w:hideMark/>
          </w:tcPr>
          <w:p w14:paraId="0D36C119"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3921" w:type="dxa"/>
            <w:gridSpan w:val="2"/>
            <w:tcBorders>
              <w:top w:val="double" w:sz="12" w:space="0" w:color="A6802D"/>
              <w:left w:val="nil"/>
              <w:bottom w:val="single" w:sz="12" w:space="0" w:color="FFFFFF"/>
            </w:tcBorders>
            <w:shd w:val="clear" w:color="auto" w:fill="A6802D"/>
            <w:vAlign w:val="center"/>
            <w:hideMark/>
          </w:tcPr>
          <w:p w14:paraId="089A9661"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DD7DAA" w:rsidRPr="005946C5" w14:paraId="746BA906" w14:textId="77777777" w:rsidTr="00655E4E">
        <w:trPr>
          <w:trHeight w:val="28"/>
          <w:jc w:val="center"/>
        </w:trPr>
        <w:tc>
          <w:tcPr>
            <w:tcW w:w="5475" w:type="dxa"/>
            <w:vMerge/>
            <w:tcBorders>
              <w:left w:val="nil"/>
              <w:bottom w:val="triple" w:sz="12" w:space="0" w:color="A6802D"/>
              <w:right w:val="single" w:sz="12" w:space="0" w:color="FFFFFF"/>
            </w:tcBorders>
            <w:shd w:val="clear" w:color="auto" w:fill="A6802D"/>
            <w:vAlign w:val="center"/>
            <w:hideMark/>
          </w:tcPr>
          <w:p w14:paraId="4CE47B33" w14:textId="77777777" w:rsidR="00DD7DAA" w:rsidRPr="008E629A" w:rsidRDefault="00DD7DAA" w:rsidP="00655E4E">
            <w:pPr>
              <w:spacing w:after="0" w:line="240" w:lineRule="exact"/>
              <w:jc w:val="center"/>
              <w:rPr>
                <w:rFonts w:ascii="Noto Sans" w:eastAsia="Times New Roman" w:hAnsi="Noto Sans" w:cs="Noto Sans"/>
                <w:b/>
                <w:bCs/>
                <w:color w:val="FFFFFF"/>
                <w:sz w:val="16"/>
                <w:szCs w:val="16"/>
                <w:lang w:eastAsia="es-MX"/>
              </w:rPr>
            </w:pPr>
          </w:p>
        </w:tc>
        <w:tc>
          <w:tcPr>
            <w:tcW w:w="1960" w:type="dxa"/>
            <w:tcBorders>
              <w:top w:val="nil"/>
              <w:left w:val="nil"/>
              <w:bottom w:val="triple" w:sz="12" w:space="0" w:color="A6802D"/>
              <w:right w:val="single" w:sz="12" w:space="0" w:color="FFFFFF"/>
            </w:tcBorders>
            <w:shd w:val="clear" w:color="auto" w:fill="A6802D"/>
            <w:vAlign w:val="center"/>
          </w:tcPr>
          <w:p w14:paraId="745743D8" w14:textId="3BB7C414" w:rsidR="00DD7DAA" w:rsidRPr="008E629A" w:rsidRDefault="00DD7DA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5</w:t>
            </w:r>
          </w:p>
        </w:tc>
        <w:tc>
          <w:tcPr>
            <w:tcW w:w="1961" w:type="dxa"/>
            <w:tcBorders>
              <w:top w:val="nil"/>
              <w:left w:val="nil"/>
              <w:bottom w:val="triple" w:sz="12" w:space="0" w:color="A6802D"/>
            </w:tcBorders>
            <w:shd w:val="clear" w:color="auto" w:fill="A6802D"/>
            <w:vAlign w:val="center"/>
          </w:tcPr>
          <w:p w14:paraId="52D29A06" w14:textId="14284071" w:rsidR="00DD7DAA" w:rsidRPr="008E629A" w:rsidRDefault="00DD7DAA" w:rsidP="00861D75">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202</w:t>
            </w:r>
            <w:r w:rsidR="00861D75">
              <w:rPr>
                <w:rFonts w:ascii="Noto Sans" w:eastAsia="Times New Roman" w:hAnsi="Noto Sans" w:cs="Noto Sans"/>
                <w:b/>
                <w:bCs/>
                <w:color w:val="FFFFFF"/>
                <w:sz w:val="16"/>
                <w:szCs w:val="16"/>
                <w:lang w:eastAsia="es-MX"/>
              </w:rPr>
              <w:t>4</w:t>
            </w:r>
          </w:p>
        </w:tc>
      </w:tr>
      <w:tr w:rsidR="00A42C65" w:rsidRPr="005946C5" w14:paraId="7D28876E" w14:textId="77777777" w:rsidTr="00677FB8">
        <w:trPr>
          <w:trHeight w:val="283"/>
          <w:jc w:val="center"/>
        </w:trPr>
        <w:tc>
          <w:tcPr>
            <w:tcW w:w="5475" w:type="dxa"/>
            <w:tcBorders>
              <w:top w:val="triple" w:sz="12" w:space="0" w:color="A6802D"/>
              <w:left w:val="nil"/>
              <w:bottom w:val="nil"/>
              <w:right w:val="nil"/>
            </w:tcBorders>
            <w:shd w:val="clear" w:color="000000" w:fill="F2F2F2"/>
            <w:vAlign w:val="center"/>
          </w:tcPr>
          <w:p w14:paraId="61404B01" w14:textId="77777777" w:rsidR="00A42C65" w:rsidRPr="00DD7DAA" w:rsidRDefault="00A42C65" w:rsidP="00A42C65">
            <w:pPr>
              <w:spacing w:after="0" w:line="240" w:lineRule="auto"/>
              <w:jc w:val="both"/>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Ahorro / Desahorro antes de rubros extraordinarios</w:t>
            </w:r>
          </w:p>
        </w:tc>
        <w:tc>
          <w:tcPr>
            <w:tcW w:w="1960" w:type="dxa"/>
            <w:tcBorders>
              <w:top w:val="nil"/>
              <w:left w:val="nil"/>
              <w:bottom w:val="nil"/>
              <w:right w:val="nil"/>
            </w:tcBorders>
            <w:shd w:val="clear" w:color="000000" w:fill="F2F2F2"/>
            <w:vAlign w:val="center"/>
          </w:tcPr>
          <w:p w14:paraId="7A8A6111" w14:textId="69228DBA" w:rsidR="00A42C65" w:rsidRPr="00DD7DAA" w:rsidRDefault="00A42C65" w:rsidP="00A42C6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10,895,614,897.2</w:t>
            </w:r>
          </w:p>
        </w:tc>
        <w:tc>
          <w:tcPr>
            <w:tcW w:w="1961" w:type="dxa"/>
            <w:tcBorders>
              <w:top w:val="triple" w:sz="12" w:space="0" w:color="A6802D"/>
              <w:left w:val="nil"/>
              <w:bottom w:val="nil"/>
              <w:right w:val="nil"/>
            </w:tcBorders>
            <w:shd w:val="clear" w:color="000000" w:fill="F2F2F2"/>
            <w:vAlign w:val="center"/>
          </w:tcPr>
          <w:p w14:paraId="29BAC51C" w14:textId="190CE8E1" w:rsidR="00A42C65" w:rsidRPr="00DD7DAA" w:rsidRDefault="00A42C65" w:rsidP="00A42C65">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16,319,901,823.0</w:t>
            </w:r>
          </w:p>
        </w:tc>
      </w:tr>
      <w:tr w:rsidR="00A42C65" w:rsidRPr="00FC0913" w14:paraId="77233CA8" w14:textId="77777777" w:rsidTr="00F75647">
        <w:trPr>
          <w:trHeight w:val="283"/>
          <w:jc w:val="center"/>
        </w:trPr>
        <w:tc>
          <w:tcPr>
            <w:tcW w:w="5475" w:type="dxa"/>
            <w:tcBorders>
              <w:top w:val="nil"/>
              <w:left w:val="nil"/>
              <w:bottom w:val="nil"/>
              <w:right w:val="nil"/>
            </w:tcBorders>
            <w:shd w:val="clear" w:color="000000" w:fill="F2F2F2"/>
            <w:vAlign w:val="center"/>
          </w:tcPr>
          <w:p w14:paraId="16E07303" w14:textId="77777777" w:rsidR="00A42C65" w:rsidRPr="00DD7DAA" w:rsidRDefault="00A42C65" w:rsidP="00A42C65">
            <w:pPr>
              <w:spacing w:after="0" w:line="240" w:lineRule="auto"/>
              <w:jc w:val="both"/>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 xml:space="preserve">Movimientos de partidas que no afectan al efectivo </w:t>
            </w:r>
          </w:p>
        </w:tc>
        <w:tc>
          <w:tcPr>
            <w:tcW w:w="1960" w:type="dxa"/>
            <w:tcBorders>
              <w:top w:val="nil"/>
              <w:left w:val="nil"/>
              <w:bottom w:val="nil"/>
              <w:right w:val="nil"/>
            </w:tcBorders>
            <w:shd w:val="clear" w:color="000000" w:fill="F2F2F2"/>
            <w:vAlign w:val="center"/>
          </w:tcPr>
          <w:p w14:paraId="3BA8EADE" w14:textId="6DA3F4A8" w:rsidR="00A42C65" w:rsidRPr="00DD7DAA" w:rsidRDefault="00A42C65" w:rsidP="00A42C6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110,199,463,875.3</w:t>
            </w:r>
          </w:p>
        </w:tc>
        <w:tc>
          <w:tcPr>
            <w:tcW w:w="1961" w:type="dxa"/>
            <w:tcBorders>
              <w:top w:val="nil"/>
              <w:left w:val="nil"/>
              <w:bottom w:val="nil"/>
              <w:right w:val="nil"/>
            </w:tcBorders>
            <w:shd w:val="clear" w:color="000000" w:fill="F2F2F2"/>
            <w:vAlign w:val="center"/>
          </w:tcPr>
          <w:p w14:paraId="5A472A01" w14:textId="2C0F9631" w:rsidR="00A42C65" w:rsidRPr="00DD7DAA" w:rsidRDefault="00A42C65" w:rsidP="00A42C65">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32,978,213,397.7</w:t>
            </w:r>
          </w:p>
        </w:tc>
      </w:tr>
      <w:tr w:rsidR="00A42C65" w:rsidRPr="00FC0913" w14:paraId="69C205FE" w14:textId="77777777" w:rsidTr="00F75647">
        <w:trPr>
          <w:trHeight w:val="283"/>
          <w:jc w:val="center"/>
        </w:trPr>
        <w:tc>
          <w:tcPr>
            <w:tcW w:w="5475" w:type="dxa"/>
            <w:tcBorders>
              <w:top w:val="nil"/>
              <w:left w:val="nil"/>
              <w:bottom w:val="nil"/>
              <w:right w:val="nil"/>
            </w:tcBorders>
            <w:shd w:val="clear" w:color="000000" w:fill="F2F2F2"/>
            <w:vAlign w:val="center"/>
          </w:tcPr>
          <w:p w14:paraId="1DDAE023" w14:textId="77777777" w:rsidR="00A42C65" w:rsidRPr="00DD7DAA" w:rsidRDefault="00A42C65" w:rsidP="00A42C65">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Provisiones</w:t>
            </w:r>
          </w:p>
        </w:tc>
        <w:tc>
          <w:tcPr>
            <w:tcW w:w="1960" w:type="dxa"/>
            <w:tcBorders>
              <w:top w:val="nil"/>
              <w:left w:val="nil"/>
              <w:bottom w:val="nil"/>
              <w:right w:val="nil"/>
            </w:tcBorders>
            <w:shd w:val="clear" w:color="000000" w:fill="F2F2F2"/>
            <w:vAlign w:val="center"/>
          </w:tcPr>
          <w:p w14:paraId="70D54FCA" w14:textId="45EDB3F0"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28,578,251,641.4</w:t>
            </w:r>
          </w:p>
        </w:tc>
        <w:tc>
          <w:tcPr>
            <w:tcW w:w="1961" w:type="dxa"/>
            <w:tcBorders>
              <w:top w:val="nil"/>
              <w:left w:val="nil"/>
              <w:bottom w:val="nil"/>
              <w:right w:val="nil"/>
            </w:tcBorders>
            <w:shd w:val="clear" w:color="000000" w:fill="F2F2F2"/>
            <w:vAlign w:val="center"/>
          </w:tcPr>
          <w:p w14:paraId="4262F79C" w14:textId="74E15691"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61,218,857,406.0</w:t>
            </w:r>
          </w:p>
        </w:tc>
      </w:tr>
      <w:tr w:rsidR="00A42C65" w:rsidRPr="00FC0913" w14:paraId="6D8E88D3" w14:textId="77777777" w:rsidTr="00F75647">
        <w:trPr>
          <w:trHeight w:val="283"/>
          <w:jc w:val="center"/>
        </w:trPr>
        <w:tc>
          <w:tcPr>
            <w:tcW w:w="5475" w:type="dxa"/>
            <w:tcBorders>
              <w:top w:val="nil"/>
              <w:left w:val="nil"/>
              <w:bottom w:val="nil"/>
              <w:right w:val="nil"/>
            </w:tcBorders>
            <w:shd w:val="clear" w:color="000000" w:fill="F2F2F2"/>
            <w:vAlign w:val="center"/>
          </w:tcPr>
          <w:p w14:paraId="536CD7CF" w14:textId="77777777" w:rsidR="00A42C65" w:rsidRPr="00DD7DAA" w:rsidRDefault="00A42C65" w:rsidP="00A42C65">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Disminución de Inventarios</w:t>
            </w:r>
          </w:p>
        </w:tc>
        <w:tc>
          <w:tcPr>
            <w:tcW w:w="1960" w:type="dxa"/>
            <w:tcBorders>
              <w:top w:val="nil"/>
              <w:left w:val="nil"/>
              <w:bottom w:val="nil"/>
              <w:right w:val="nil"/>
            </w:tcBorders>
            <w:shd w:val="clear" w:color="000000" w:fill="F2F2F2"/>
            <w:vAlign w:val="center"/>
          </w:tcPr>
          <w:p w14:paraId="11A007AE" w14:textId="4B1CCF09"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3,254,731,445.2</w:t>
            </w:r>
          </w:p>
        </w:tc>
        <w:tc>
          <w:tcPr>
            <w:tcW w:w="1961" w:type="dxa"/>
            <w:tcBorders>
              <w:top w:val="nil"/>
              <w:left w:val="nil"/>
              <w:bottom w:val="nil"/>
              <w:right w:val="nil"/>
            </w:tcBorders>
            <w:shd w:val="clear" w:color="000000" w:fill="F2F2F2"/>
            <w:vAlign w:val="center"/>
          </w:tcPr>
          <w:p w14:paraId="43534BC4" w14:textId="677CBC62"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16,040,412,519.0</w:t>
            </w:r>
          </w:p>
        </w:tc>
      </w:tr>
      <w:tr w:rsidR="00A42C65" w:rsidRPr="00FC0913" w14:paraId="1C1A031E" w14:textId="77777777" w:rsidTr="00F75647">
        <w:trPr>
          <w:trHeight w:val="283"/>
          <w:jc w:val="center"/>
        </w:trPr>
        <w:tc>
          <w:tcPr>
            <w:tcW w:w="5475" w:type="dxa"/>
            <w:tcBorders>
              <w:top w:val="nil"/>
              <w:left w:val="nil"/>
              <w:bottom w:val="nil"/>
              <w:right w:val="nil"/>
            </w:tcBorders>
            <w:shd w:val="clear" w:color="000000" w:fill="F2F2F2"/>
            <w:vAlign w:val="center"/>
          </w:tcPr>
          <w:p w14:paraId="1023F2B4" w14:textId="77777777" w:rsidR="00A42C65" w:rsidRPr="00DD7DAA" w:rsidRDefault="00A42C65" w:rsidP="00A42C65">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Estimaciones, Depreciaciones, Deterioros, Obsolescencia y Amortizaciones</w:t>
            </w:r>
          </w:p>
        </w:tc>
        <w:tc>
          <w:tcPr>
            <w:tcW w:w="1960" w:type="dxa"/>
            <w:tcBorders>
              <w:top w:val="nil"/>
              <w:left w:val="nil"/>
              <w:bottom w:val="nil"/>
              <w:right w:val="nil"/>
            </w:tcBorders>
            <w:shd w:val="clear" w:color="000000" w:fill="F2F2F2"/>
            <w:vAlign w:val="center"/>
          </w:tcPr>
          <w:p w14:paraId="4E22942B" w14:textId="2B3F65BC"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9,829,670,808.3</w:t>
            </w:r>
          </w:p>
        </w:tc>
        <w:tc>
          <w:tcPr>
            <w:tcW w:w="1961" w:type="dxa"/>
            <w:tcBorders>
              <w:top w:val="nil"/>
              <w:left w:val="nil"/>
              <w:bottom w:val="nil"/>
              <w:right w:val="nil"/>
            </w:tcBorders>
            <w:shd w:val="clear" w:color="000000" w:fill="F2F2F2"/>
            <w:vAlign w:val="center"/>
          </w:tcPr>
          <w:p w14:paraId="1F9B18FA" w14:textId="29241FB6"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21,340,544,721.0</w:t>
            </w:r>
          </w:p>
        </w:tc>
      </w:tr>
      <w:tr w:rsidR="00A42C65" w:rsidRPr="00FC0913" w14:paraId="62331E5D" w14:textId="77777777" w:rsidTr="00F75647">
        <w:trPr>
          <w:trHeight w:val="283"/>
          <w:jc w:val="center"/>
        </w:trPr>
        <w:tc>
          <w:tcPr>
            <w:tcW w:w="5475" w:type="dxa"/>
            <w:tcBorders>
              <w:top w:val="nil"/>
              <w:left w:val="nil"/>
              <w:bottom w:val="nil"/>
              <w:right w:val="nil"/>
            </w:tcBorders>
            <w:shd w:val="clear" w:color="000000" w:fill="F2F2F2"/>
            <w:vAlign w:val="center"/>
          </w:tcPr>
          <w:p w14:paraId="2CF656A3" w14:textId="77777777" w:rsidR="00A42C65" w:rsidRPr="00DD7DAA" w:rsidRDefault="00A42C65" w:rsidP="00A42C65">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Otros gastos</w:t>
            </w:r>
          </w:p>
        </w:tc>
        <w:tc>
          <w:tcPr>
            <w:tcW w:w="1960" w:type="dxa"/>
            <w:tcBorders>
              <w:top w:val="nil"/>
              <w:left w:val="nil"/>
              <w:bottom w:val="nil"/>
              <w:right w:val="nil"/>
            </w:tcBorders>
            <w:shd w:val="clear" w:color="000000" w:fill="F2F2F2"/>
            <w:vAlign w:val="center"/>
          </w:tcPr>
          <w:p w14:paraId="016682A9" w14:textId="3A2EB27E"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478,255,954.0</w:t>
            </w:r>
          </w:p>
        </w:tc>
        <w:tc>
          <w:tcPr>
            <w:tcW w:w="1961" w:type="dxa"/>
            <w:tcBorders>
              <w:top w:val="nil"/>
              <w:left w:val="nil"/>
              <w:bottom w:val="nil"/>
              <w:right w:val="nil"/>
            </w:tcBorders>
            <w:shd w:val="clear" w:color="000000" w:fill="F2F2F2"/>
            <w:vAlign w:val="center"/>
          </w:tcPr>
          <w:p w14:paraId="54AF3FE5" w14:textId="051A1423"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3,334,009,918.0</w:t>
            </w:r>
          </w:p>
        </w:tc>
      </w:tr>
      <w:tr w:rsidR="00A42C65" w:rsidRPr="00FC0913" w14:paraId="793B50B1" w14:textId="77777777" w:rsidTr="00F75647">
        <w:trPr>
          <w:trHeight w:val="283"/>
          <w:jc w:val="center"/>
        </w:trPr>
        <w:tc>
          <w:tcPr>
            <w:tcW w:w="5475" w:type="dxa"/>
            <w:tcBorders>
              <w:top w:val="nil"/>
              <w:left w:val="nil"/>
              <w:bottom w:val="nil"/>
              <w:right w:val="nil"/>
            </w:tcBorders>
            <w:shd w:val="clear" w:color="000000" w:fill="F2F2F2"/>
            <w:vAlign w:val="center"/>
          </w:tcPr>
          <w:p w14:paraId="5E20C9D9" w14:textId="77777777" w:rsidR="00A42C65" w:rsidRPr="00DD7DAA" w:rsidRDefault="00A42C65" w:rsidP="00A42C65">
            <w:pPr>
              <w:spacing w:after="0" w:line="240" w:lineRule="auto"/>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Aumento de Pasivos Derivados de las Actividades de Operación</w:t>
            </w:r>
          </w:p>
        </w:tc>
        <w:tc>
          <w:tcPr>
            <w:tcW w:w="1960" w:type="dxa"/>
            <w:tcBorders>
              <w:top w:val="nil"/>
              <w:left w:val="nil"/>
              <w:bottom w:val="nil"/>
              <w:right w:val="nil"/>
            </w:tcBorders>
            <w:shd w:val="clear" w:color="000000" w:fill="F2F2F2"/>
            <w:vAlign w:val="center"/>
          </w:tcPr>
          <w:p w14:paraId="2AEC7189" w14:textId="2C825368"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108,347,464,183.5</w:t>
            </w:r>
          </w:p>
        </w:tc>
        <w:tc>
          <w:tcPr>
            <w:tcW w:w="1961" w:type="dxa"/>
            <w:tcBorders>
              <w:top w:val="nil"/>
              <w:left w:val="nil"/>
              <w:bottom w:val="nil"/>
              <w:right w:val="nil"/>
            </w:tcBorders>
            <w:shd w:val="clear" w:color="000000" w:fill="F2F2F2"/>
            <w:vAlign w:val="center"/>
          </w:tcPr>
          <w:p w14:paraId="4BCC573B" w14:textId="4B944703"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-3,516,965,263.4</w:t>
            </w:r>
          </w:p>
        </w:tc>
      </w:tr>
      <w:tr w:rsidR="00A42C65" w:rsidRPr="00FC0913" w14:paraId="2688AA75" w14:textId="77777777" w:rsidTr="00F75647">
        <w:trPr>
          <w:trHeight w:val="283"/>
          <w:jc w:val="center"/>
        </w:trPr>
        <w:tc>
          <w:tcPr>
            <w:tcW w:w="5475" w:type="dxa"/>
            <w:tcBorders>
              <w:top w:val="nil"/>
              <w:left w:val="nil"/>
              <w:bottom w:val="nil"/>
              <w:right w:val="nil"/>
            </w:tcBorders>
            <w:shd w:val="clear" w:color="000000" w:fill="F2F2F2"/>
            <w:vAlign w:val="center"/>
          </w:tcPr>
          <w:p w14:paraId="73938378" w14:textId="77777777" w:rsidR="00A42C65" w:rsidRPr="00DD7DAA" w:rsidRDefault="00A42C65" w:rsidP="00A42C65">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Aumento del Patrimonio Derivado de las Actividades de Operación</w:t>
            </w:r>
          </w:p>
        </w:tc>
        <w:tc>
          <w:tcPr>
            <w:tcW w:w="1960" w:type="dxa"/>
            <w:tcBorders>
              <w:top w:val="nil"/>
              <w:left w:val="nil"/>
              <w:bottom w:val="nil"/>
              <w:right w:val="nil"/>
            </w:tcBorders>
            <w:shd w:val="clear" w:color="000000" w:fill="F2F2F2"/>
            <w:vAlign w:val="center"/>
          </w:tcPr>
          <w:p w14:paraId="7D278575" w14:textId="1EC68923"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-1,279,590.4</w:t>
            </w:r>
          </w:p>
        </w:tc>
        <w:tc>
          <w:tcPr>
            <w:tcW w:w="1961" w:type="dxa"/>
            <w:tcBorders>
              <w:top w:val="nil"/>
              <w:left w:val="nil"/>
              <w:bottom w:val="nil"/>
              <w:right w:val="nil"/>
            </w:tcBorders>
            <w:shd w:val="clear" w:color="000000" w:fill="F2F2F2"/>
            <w:vAlign w:val="center"/>
          </w:tcPr>
          <w:p w14:paraId="7037C4E0" w14:textId="31493574"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334,293,357.0</w:t>
            </w:r>
          </w:p>
        </w:tc>
      </w:tr>
      <w:tr w:rsidR="00A42C65" w:rsidRPr="00FC0913" w14:paraId="1DD7ED3B" w14:textId="77777777" w:rsidTr="00F75647">
        <w:trPr>
          <w:trHeight w:val="283"/>
          <w:jc w:val="center"/>
        </w:trPr>
        <w:tc>
          <w:tcPr>
            <w:tcW w:w="5475" w:type="dxa"/>
            <w:tcBorders>
              <w:top w:val="nil"/>
              <w:left w:val="nil"/>
              <w:bottom w:val="nil"/>
              <w:right w:val="nil"/>
            </w:tcBorders>
            <w:shd w:val="clear" w:color="000000" w:fill="F2F2F2"/>
            <w:vAlign w:val="center"/>
          </w:tcPr>
          <w:p w14:paraId="63FFFF54" w14:textId="77777777" w:rsidR="00A42C65" w:rsidRPr="00DD7DAA" w:rsidRDefault="00A42C65" w:rsidP="00A42C65">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Aumento de Activos Derivados de las Actividades de Operación</w:t>
            </w:r>
          </w:p>
        </w:tc>
        <w:tc>
          <w:tcPr>
            <w:tcW w:w="1960" w:type="dxa"/>
            <w:tcBorders>
              <w:top w:val="nil"/>
              <w:left w:val="nil"/>
              <w:bottom w:val="nil"/>
              <w:right w:val="nil"/>
            </w:tcBorders>
            <w:shd w:val="clear" w:color="000000" w:fill="F2F2F2"/>
            <w:vAlign w:val="center"/>
          </w:tcPr>
          <w:p w14:paraId="6EF31586" w14:textId="4187BAB6"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-13,204,276,408.5</w:t>
            </w:r>
          </w:p>
        </w:tc>
        <w:tc>
          <w:tcPr>
            <w:tcW w:w="1961" w:type="dxa"/>
            <w:tcBorders>
              <w:top w:val="nil"/>
              <w:left w:val="nil"/>
              <w:bottom w:val="nil"/>
              <w:right w:val="nil"/>
            </w:tcBorders>
            <w:shd w:val="clear" w:color="000000" w:fill="F2F2F2"/>
            <w:vAlign w:val="center"/>
          </w:tcPr>
          <w:p w14:paraId="7E8DB7FA" w14:textId="3932B5E3"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6,602,907,210.1</w:t>
            </w:r>
          </w:p>
        </w:tc>
      </w:tr>
      <w:tr w:rsidR="00A42C65" w:rsidRPr="00FC0913" w14:paraId="0EDD87EE" w14:textId="77777777" w:rsidTr="00F75647">
        <w:trPr>
          <w:trHeight w:val="283"/>
          <w:jc w:val="center"/>
        </w:trPr>
        <w:tc>
          <w:tcPr>
            <w:tcW w:w="5475" w:type="dxa"/>
            <w:tcBorders>
              <w:top w:val="nil"/>
              <w:left w:val="nil"/>
              <w:bottom w:val="nil"/>
              <w:right w:val="nil"/>
            </w:tcBorders>
            <w:shd w:val="clear" w:color="000000" w:fill="F2F2F2"/>
            <w:vAlign w:val="center"/>
          </w:tcPr>
          <w:p w14:paraId="7FB4AA33" w14:textId="77777777" w:rsidR="00A42C65" w:rsidRPr="00DD7DAA" w:rsidRDefault="00A42C65" w:rsidP="00A42C65">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Ingresos Financieros y Otros Ingresos del Estado de Actividades que Impactan Flujo de Actividades de Inversión</w:t>
            </w:r>
          </w:p>
        </w:tc>
        <w:tc>
          <w:tcPr>
            <w:tcW w:w="1960" w:type="dxa"/>
            <w:tcBorders>
              <w:top w:val="nil"/>
              <w:left w:val="nil"/>
              <w:bottom w:val="nil"/>
              <w:right w:val="nil"/>
            </w:tcBorders>
            <w:shd w:val="clear" w:color="000000" w:fill="F2F2F2"/>
            <w:vAlign w:val="center"/>
          </w:tcPr>
          <w:p w14:paraId="50F26874" w14:textId="0F12BE66"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-16,782,927,492.1</w:t>
            </w:r>
          </w:p>
        </w:tc>
        <w:tc>
          <w:tcPr>
            <w:tcW w:w="1961" w:type="dxa"/>
            <w:tcBorders>
              <w:top w:val="nil"/>
              <w:left w:val="nil"/>
              <w:bottom w:val="nil"/>
              <w:right w:val="nil"/>
            </w:tcBorders>
            <w:shd w:val="clear" w:color="000000" w:fill="F2F2F2"/>
            <w:vAlign w:val="center"/>
          </w:tcPr>
          <w:p w14:paraId="7E9E02C7" w14:textId="504B4A20"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-39,796,924,570.6</w:t>
            </w:r>
          </w:p>
        </w:tc>
      </w:tr>
      <w:tr w:rsidR="00A42C65" w:rsidRPr="00FC0913" w14:paraId="10606A48" w14:textId="77777777" w:rsidTr="00F75647">
        <w:trPr>
          <w:trHeight w:val="283"/>
          <w:jc w:val="center"/>
        </w:trPr>
        <w:tc>
          <w:tcPr>
            <w:tcW w:w="5475" w:type="dxa"/>
            <w:tcBorders>
              <w:top w:val="nil"/>
              <w:left w:val="nil"/>
              <w:bottom w:val="nil"/>
              <w:right w:val="nil"/>
            </w:tcBorders>
            <w:shd w:val="clear" w:color="000000" w:fill="F2F2F2"/>
            <w:vAlign w:val="center"/>
          </w:tcPr>
          <w:p w14:paraId="63B45DD8" w14:textId="77777777" w:rsidR="00A42C65" w:rsidRPr="00DD7DAA" w:rsidRDefault="00A42C65" w:rsidP="00A42C65">
            <w:pPr>
              <w:spacing w:after="0" w:line="240" w:lineRule="auto"/>
              <w:jc w:val="both"/>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Otros Gastos y Pérdidas Extraordinarias del Estado de Actividades que Impactan Flujo de Actividades de Operación</w:t>
            </w:r>
          </w:p>
        </w:tc>
        <w:tc>
          <w:tcPr>
            <w:tcW w:w="1960" w:type="dxa"/>
            <w:tcBorders>
              <w:top w:val="nil"/>
              <w:left w:val="nil"/>
              <w:bottom w:val="nil"/>
              <w:right w:val="nil"/>
            </w:tcBorders>
            <w:shd w:val="clear" w:color="000000" w:fill="F2F2F2"/>
            <w:vAlign w:val="center"/>
          </w:tcPr>
          <w:p w14:paraId="19812401" w14:textId="5D1F0035"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-10,300,426,666.1</w:t>
            </w:r>
          </w:p>
        </w:tc>
        <w:tc>
          <w:tcPr>
            <w:tcW w:w="1961" w:type="dxa"/>
            <w:tcBorders>
              <w:top w:val="nil"/>
              <w:left w:val="nil"/>
              <w:bottom w:val="nil"/>
              <w:right w:val="nil"/>
            </w:tcBorders>
            <w:shd w:val="clear" w:color="000000" w:fill="F2F2F2"/>
            <w:vAlign w:val="center"/>
          </w:tcPr>
          <w:p w14:paraId="0A4EE97F" w14:textId="64B95DED" w:rsidR="00A42C65" w:rsidRPr="00DD7DAA" w:rsidRDefault="00A42C65" w:rsidP="00A42C65">
            <w:pPr>
              <w:spacing w:after="0" w:line="240" w:lineRule="auto"/>
              <w:jc w:val="right"/>
              <w:rPr>
                <w:rFonts w:ascii="Noto Sans" w:eastAsia="Times New Roman" w:hAnsi="Noto Sans" w:cs="Noto Sans"/>
                <w:color w:val="000000"/>
                <w:sz w:val="15"/>
                <w:szCs w:val="15"/>
                <w:lang w:eastAsia="es-MX"/>
              </w:rPr>
            </w:pPr>
            <w:r w:rsidRPr="00DD7DAA">
              <w:rPr>
                <w:rFonts w:ascii="Noto Sans" w:eastAsia="Times New Roman" w:hAnsi="Noto Sans" w:cs="Noto Sans"/>
                <w:color w:val="000000"/>
                <w:sz w:val="15"/>
                <w:szCs w:val="15"/>
                <w:lang w:eastAsia="es-MX"/>
              </w:rPr>
              <w:t>-32,578,921,899.4</w:t>
            </w:r>
          </w:p>
        </w:tc>
      </w:tr>
      <w:tr w:rsidR="00A42C65" w:rsidRPr="005946C5" w14:paraId="370EE07A" w14:textId="77777777" w:rsidTr="00677FB8">
        <w:trPr>
          <w:trHeight w:val="283"/>
          <w:jc w:val="center"/>
        </w:trPr>
        <w:tc>
          <w:tcPr>
            <w:tcW w:w="5475" w:type="dxa"/>
            <w:tcBorders>
              <w:top w:val="nil"/>
              <w:left w:val="nil"/>
              <w:bottom w:val="single" w:sz="12" w:space="0" w:color="A6802D"/>
              <w:right w:val="nil"/>
            </w:tcBorders>
            <w:shd w:val="clear" w:color="000000" w:fill="F2F2F2"/>
            <w:vAlign w:val="center"/>
          </w:tcPr>
          <w:p w14:paraId="5DDA0806" w14:textId="77777777" w:rsidR="00A42C65" w:rsidRPr="00DD7DAA" w:rsidRDefault="00A42C65" w:rsidP="00A42C65">
            <w:pPr>
              <w:spacing w:after="0" w:line="240" w:lineRule="auto"/>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Flujos de Efectivo Netos de las Actividades de Operación</w:t>
            </w:r>
          </w:p>
        </w:tc>
        <w:tc>
          <w:tcPr>
            <w:tcW w:w="1960" w:type="dxa"/>
            <w:tcBorders>
              <w:top w:val="nil"/>
              <w:left w:val="nil"/>
              <w:bottom w:val="single" w:sz="12" w:space="0" w:color="808080"/>
              <w:right w:val="nil"/>
            </w:tcBorders>
            <w:shd w:val="clear" w:color="000000" w:fill="F2F2F2"/>
            <w:vAlign w:val="center"/>
          </w:tcPr>
          <w:p w14:paraId="1072AD0B" w14:textId="0957D117" w:rsidR="00A42C65" w:rsidRPr="00DD7DAA" w:rsidRDefault="00A42C65" w:rsidP="00A42C65">
            <w:pPr>
              <w:spacing w:after="0" w:line="240" w:lineRule="auto"/>
              <w:jc w:val="right"/>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121,095,078,772.5</w:t>
            </w:r>
          </w:p>
        </w:tc>
        <w:tc>
          <w:tcPr>
            <w:tcW w:w="1961" w:type="dxa"/>
            <w:tcBorders>
              <w:top w:val="nil"/>
              <w:left w:val="nil"/>
              <w:bottom w:val="single" w:sz="12" w:space="0" w:color="A6802D"/>
              <w:right w:val="nil"/>
            </w:tcBorders>
            <w:shd w:val="clear" w:color="000000" w:fill="F2F2F2"/>
            <w:vAlign w:val="center"/>
          </w:tcPr>
          <w:p w14:paraId="1A6530D3" w14:textId="016695F1" w:rsidR="00A42C65" w:rsidRPr="00DD7DAA" w:rsidRDefault="00A42C65" w:rsidP="00A42C65">
            <w:pPr>
              <w:spacing w:after="0" w:line="240" w:lineRule="auto"/>
              <w:jc w:val="right"/>
              <w:rPr>
                <w:rFonts w:ascii="Noto Sans" w:eastAsia="Times New Roman" w:hAnsi="Noto Sans" w:cs="Noto Sans"/>
                <w:b/>
                <w:bCs/>
                <w:color w:val="000000"/>
                <w:sz w:val="15"/>
                <w:szCs w:val="15"/>
                <w:lang w:eastAsia="es-MX"/>
              </w:rPr>
            </w:pPr>
            <w:r w:rsidRPr="00DD7DAA">
              <w:rPr>
                <w:rFonts w:ascii="Noto Sans" w:eastAsia="Times New Roman" w:hAnsi="Noto Sans" w:cs="Noto Sans"/>
                <w:b/>
                <w:bCs/>
                <w:color w:val="000000"/>
                <w:sz w:val="15"/>
                <w:szCs w:val="15"/>
                <w:lang w:eastAsia="es-MX"/>
              </w:rPr>
              <w:t>49,298,115,220.7</w:t>
            </w:r>
          </w:p>
        </w:tc>
      </w:tr>
      <w:tr w:rsidR="003D0EA6" w:rsidRPr="00274555" w14:paraId="6C90CB14" w14:textId="77777777" w:rsidTr="00655E4E">
        <w:trPr>
          <w:trHeight w:val="226"/>
          <w:jc w:val="center"/>
        </w:trPr>
        <w:tc>
          <w:tcPr>
            <w:tcW w:w="5475" w:type="dxa"/>
            <w:tcBorders>
              <w:top w:val="single" w:sz="12" w:space="0" w:color="A6802D"/>
              <w:left w:val="nil"/>
              <w:right w:val="nil"/>
            </w:tcBorders>
            <w:vAlign w:val="center"/>
          </w:tcPr>
          <w:p w14:paraId="50C66948" w14:textId="77777777" w:rsidR="003D0EA6" w:rsidRPr="00274555" w:rsidRDefault="003D0EA6" w:rsidP="003D0EA6">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c>
          <w:tcPr>
            <w:tcW w:w="1960" w:type="dxa"/>
            <w:tcBorders>
              <w:top w:val="single" w:sz="12" w:space="0" w:color="A6802D"/>
              <w:left w:val="nil"/>
              <w:right w:val="nil"/>
            </w:tcBorders>
            <w:vAlign w:val="center"/>
          </w:tcPr>
          <w:p w14:paraId="66C1DB80" w14:textId="77777777" w:rsidR="003D0EA6" w:rsidRPr="00274555" w:rsidRDefault="003D0EA6" w:rsidP="003D0EA6">
            <w:pPr>
              <w:spacing w:after="0" w:line="240" w:lineRule="auto"/>
              <w:jc w:val="both"/>
              <w:rPr>
                <w:rFonts w:ascii="Noto Sans" w:eastAsia="Times New Roman" w:hAnsi="Noto Sans" w:cs="Noto Sans"/>
                <w:b/>
                <w:bCs/>
                <w:color w:val="000000"/>
                <w:sz w:val="14"/>
                <w:szCs w:val="14"/>
                <w:lang w:eastAsia="es-MX"/>
              </w:rPr>
            </w:pPr>
          </w:p>
        </w:tc>
        <w:tc>
          <w:tcPr>
            <w:tcW w:w="1961" w:type="dxa"/>
            <w:tcBorders>
              <w:top w:val="single" w:sz="12" w:space="0" w:color="A6802D"/>
              <w:left w:val="nil"/>
              <w:right w:val="nil"/>
            </w:tcBorders>
            <w:vAlign w:val="center"/>
          </w:tcPr>
          <w:p w14:paraId="360EB05E" w14:textId="77777777" w:rsidR="003D0EA6" w:rsidRPr="00274555" w:rsidRDefault="003D0EA6" w:rsidP="003D0EA6">
            <w:pPr>
              <w:spacing w:after="0" w:line="240" w:lineRule="auto"/>
              <w:jc w:val="both"/>
              <w:rPr>
                <w:rFonts w:ascii="Noto Sans" w:eastAsia="Times New Roman" w:hAnsi="Noto Sans" w:cs="Noto Sans"/>
                <w:b/>
                <w:bCs/>
                <w:color w:val="000000"/>
                <w:sz w:val="14"/>
                <w:szCs w:val="14"/>
                <w:lang w:eastAsia="es-MX"/>
              </w:rPr>
            </w:pPr>
          </w:p>
        </w:tc>
      </w:tr>
    </w:tbl>
    <w:p w14:paraId="09CBC2AB" w14:textId="77777777" w:rsidR="00DD7DAA" w:rsidRDefault="00DD7DAA" w:rsidP="00DD7DAA">
      <w:pPr>
        <w:pStyle w:val="Prrafodelista"/>
        <w:spacing w:after="120" w:line="250" w:lineRule="exact"/>
        <w:ind w:left="357"/>
        <w:rPr>
          <w:rFonts w:ascii="Noto Sans" w:hAnsi="Noto Sans" w:cs="Noto Sans"/>
          <w:sz w:val="18"/>
          <w:szCs w:val="18"/>
        </w:rPr>
      </w:pPr>
    </w:p>
    <w:p w14:paraId="68F7CC19" w14:textId="77777777" w:rsidR="00DD7DAA" w:rsidRDefault="00DD7DAA" w:rsidP="00DD7DAA">
      <w:pPr>
        <w:pStyle w:val="Prrafodelista"/>
        <w:spacing w:after="120" w:line="250" w:lineRule="exact"/>
        <w:ind w:left="357"/>
        <w:rPr>
          <w:rFonts w:ascii="Noto Sans" w:hAnsi="Noto Sans" w:cs="Noto Sans"/>
          <w:sz w:val="18"/>
          <w:szCs w:val="18"/>
        </w:rPr>
      </w:pPr>
    </w:p>
    <w:p w14:paraId="055DBAD8" w14:textId="77777777" w:rsidR="00DD7DAA" w:rsidRDefault="00DD7DAA" w:rsidP="00DD7DAA">
      <w:pPr>
        <w:pStyle w:val="Prrafodelista"/>
        <w:spacing w:after="120" w:line="250" w:lineRule="exact"/>
        <w:ind w:left="357"/>
        <w:rPr>
          <w:rFonts w:ascii="Noto Sans" w:hAnsi="Noto Sans" w:cs="Noto Sans"/>
          <w:sz w:val="18"/>
          <w:szCs w:val="18"/>
        </w:rPr>
      </w:pPr>
    </w:p>
    <w:p w14:paraId="77D5A930" w14:textId="77777777" w:rsidR="00DD7DAA" w:rsidRDefault="00DD7DAA" w:rsidP="00DD7DAA">
      <w:pPr>
        <w:pStyle w:val="Prrafodelista"/>
        <w:spacing w:after="120" w:line="250" w:lineRule="exact"/>
        <w:ind w:left="357"/>
        <w:rPr>
          <w:rFonts w:ascii="Noto Sans" w:hAnsi="Noto Sans" w:cs="Noto Sans"/>
          <w:sz w:val="18"/>
          <w:szCs w:val="18"/>
        </w:rPr>
      </w:pPr>
    </w:p>
    <w:p w14:paraId="5AC88388" w14:textId="77777777" w:rsidR="00DD7DAA" w:rsidRDefault="00DD7DAA" w:rsidP="00DD7DAA">
      <w:pPr>
        <w:pStyle w:val="Prrafodelista"/>
        <w:spacing w:after="120" w:line="250" w:lineRule="exact"/>
        <w:ind w:left="357"/>
        <w:rPr>
          <w:rFonts w:ascii="Noto Sans" w:hAnsi="Noto Sans" w:cs="Noto Sans"/>
          <w:sz w:val="18"/>
          <w:szCs w:val="18"/>
        </w:rPr>
      </w:pPr>
    </w:p>
    <w:p w14:paraId="596AE43A" w14:textId="77777777" w:rsidR="00DD7DAA" w:rsidRDefault="00DD7DAA" w:rsidP="00DD7DAA">
      <w:pPr>
        <w:pStyle w:val="Prrafodelista"/>
        <w:spacing w:after="120" w:line="250" w:lineRule="exact"/>
        <w:ind w:left="357"/>
        <w:rPr>
          <w:rFonts w:ascii="Noto Sans" w:hAnsi="Noto Sans" w:cs="Noto Sans"/>
          <w:sz w:val="18"/>
          <w:szCs w:val="18"/>
        </w:rPr>
      </w:pPr>
    </w:p>
    <w:p w14:paraId="74C26D84" w14:textId="77777777" w:rsidR="00DD7DAA" w:rsidRDefault="00DD7DAA" w:rsidP="00DD7DAA">
      <w:pPr>
        <w:pStyle w:val="Prrafodelista"/>
        <w:spacing w:after="120" w:line="250" w:lineRule="exact"/>
        <w:ind w:left="357"/>
        <w:rPr>
          <w:rFonts w:ascii="Noto Sans" w:hAnsi="Noto Sans" w:cs="Noto Sans"/>
          <w:sz w:val="18"/>
          <w:szCs w:val="18"/>
        </w:rPr>
      </w:pPr>
    </w:p>
    <w:p w14:paraId="61F06919" w14:textId="77777777" w:rsidR="00DD7DAA" w:rsidRDefault="00DD7DAA" w:rsidP="00DD7DAA">
      <w:pPr>
        <w:pStyle w:val="Prrafodelista"/>
        <w:spacing w:after="120" w:line="250" w:lineRule="exact"/>
        <w:ind w:left="357"/>
        <w:rPr>
          <w:rFonts w:ascii="Noto Sans" w:hAnsi="Noto Sans" w:cs="Noto Sans"/>
          <w:sz w:val="18"/>
          <w:szCs w:val="18"/>
        </w:rPr>
      </w:pPr>
    </w:p>
    <w:p w14:paraId="5EFCBF91" w14:textId="77777777" w:rsidR="00DD7DAA" w:rsidRDefault="00DD7DAA" w:rsidP="00DD7DAA">
      <w:pPr>
        <w:pStyle w:val="Prrafodelista"/>
        <w:spacing w:after="120" w:line="250" w:lineRule="exact"/>
        <w:ind w:left="357"/>
        <w:rPr>
          <w:rFonts w:ascii="Noto Sans" w:hAnsi="Noto Sans" w:cs="Noto Sans"/>
          <w:sz w:val="18"/>
          <w:szCs w:val="18"/>
        </w:rPr>
      </w:pPr>
    </w:p>
    <w:p w14:paraId="214E1590" w14:textId="77777777" w:rsidR="00DD7DAA" w:rsidRDefault="00DD7DAA" w:rsidP="00DD7DAA">
      <w:pPr>
        <w:pStyle w:val="Prrafodelista"/>
        <w:spacing w:after="120" w:line="250" w:lineRule="exact"/>
        <w:ind w:left="357"/>
        <w:rPr>
          <w:rFonts w:ascii="Noto Sans" w:hAnsi="Noto Sans" w:cs="Noto Sans"/>
          <w:sz w:val="18"/>
          <w:szCs w:val="18"/>
        </w:rPr>
      </w:pPr>
    </w:p>
    <w:p w14:paraId="1697840D" w14:textId="77777777" w:rsidR="00BA4F4E" w:rsidRDefault="00BA4F4E" w:rsidP="00DD7DAA">
      <w:pPr>
        <w:pStyle w:val="Prrafodelista"/>
        <w:spacing w:after="120" w:line="250" w:lineRule="exact"/>
        <w:ind w:left="357"/>
        <w:rPr>
          <w:rFonts w:ascii="Noto Sans" w:hAnsi="Noto Sans" w:cs="Noto Sans"/>
          <w:sz w:val="18"/>
          <w:szCs w:val="18"/>
        </w:rPr>
      </w:pPr>
    </w:p>
    <w:p w14:paraId="4B9E00C4" w14:textId="77777777" w:rsidR="00DD7DAA" w:rsidRDefault="00DD7DAA" w:rsidP="00DD7DAA">
      <w:pPr>
        <w:pStyle w:val="Prrafodelista"/>
        <w:spacing w:after="120" w:line="250" w:lineRule="exact"/>
        <w:ind w:left="357"/>
        <w:rPr>
          <w:rFonts w:ascii="Noto Sans" w:hAnsi="Noto Sans" w:cs="Noto Sans"/>
          <w:sz w:val="18"/>
          <w:szCs w:val="18"/>
        </w:rPr>
      </w:pPr>
    </w:p>
    <w:p w14:paraId="079035AD" w14:textId="77777777" w:rsidR="00DD7DAA" w:rsidRDefault="00DD7DAA" w:rsidP="00DD7DAA">
      <w:pPr>
        <w:pStyle w:val="Prrafodelista"/>
        <w:spacing w:after="120" w:line="250" w:lineRule="exact"/>
        <w:ind w:left="357"/>
        <w:rPr>
          <w:rFonts w:ascii="Noto Sans" w:hAnsi="Noto Sans" w:cs="Noto Sans"/>
          <w:sz w:val="18"/>
          <w:szCs w:val="18"/>
        </w:rPr>
      </w:pPr>
    </w:p>
    <w:p w14:paraId="4267D27D" w14:textId="77777777" w:rsidR="00DD7DAA" w:rsidRDefault="00DD7DAA" w:rsidP="00DD7DAA">
      <w:pPr>
        <w:pStyle w:val="Prrafodelista"/>
        <w:spacing w:after="120" w:line="250" w:lineRule="exact"/>
        <w:ind w:left="357"/>
        <w:rPr>
          <w:rFonts w:ascii="Noto Sans" w:hAnsi="Noto Sans" w:cs="Noto Sans"/>
          <w:sz w:val="18"/>
          <w:szCs w:val="18"/>
        </w:rPr>
      </w:pPr>
    </w:p>
    <w:p w14:paraId="5671351B" w14:textId="77777777" w:rsidR="00BA61F3" w:rsidRPr="00BA61F3" w:rsidRDefault="00BA61F3" w:rsidP="009C7021">
      <w:pPr>
        <w:pStyle w:val="Prrafodelista"/>
        <w:spacing w:before="240" w:after="120" w:line="250" w:lineRule="exact"/>
        <w:ind w:left="0"/>
        <w:rPr>
          <w:rFonts w:ascii="Noto Sans" w:eastAsia="Arial Unicode MS" w:hAnsi="Noto Sans" w:cs="Noto Sans"/>
          <w:sz w:val="18"/>
          <w:szCs w:val="18"/>
        </w:rPr>
      </w:pPr>
    </w:p>
    <w:p w14:paraId="72C2E386" w14:textId="0C017DDB" w:rsidR="00BA61F3" w:rsidRPr="00BA61F3" w:rsidRDefault="00BA61F3" w:rsidP="00ED1D2E">
      <w:pPr>
        <w:pStyle w:val="Prrafodelista"/>
        <w:numPr>
          <w:ilvl w:val="0"/>
          <w:numId w:val="6"/>
        </w:numPr>
        <w:spacing w:before="240" w:after="120" w:line="250" w:lineRule="exact"/>
        <w:ind w:left="0" w:firstLine="0"/>
        <w:rPr>
          <w:rFonts w:ascii="Noto Sans" w:eastAsia="Arial Unicode MS" w:hAnsi="Noto Sans" w:cs="Noto Sans"/>
          <w:b/>
        </w:rPr>
      </w:pPr>
      <w:r w:rsidRPr="00BA61F3">
        <w:rPr>
          <w:rFonts w:ascii="Noto Sans" w:eastAsia="Arial Unicode MS" w:hAnsi="Noto Sans" w:cs="Noto Sans"/>
          <w:b/>
        </w:rPr>
        <w:lastRenderedPageBreak/>
        <w:t>CONCILIA</w:t>
      </w:r>
      <w:r>
        <w:rPr>
          <w:rFonts w:ascii="Noto Sans" w:eastAsia="Arial Unicode MS" w:hAnsi="Noto Sans" w:cs="Noto Sans"/>
          <w:b/>
        </w:rPr>
        <w:t>CIÓN CONTABLE PRESUPUESTARIA</w:t>
      </w:r>
    </w:p>
    <w:p w14:paraId="35119987" w14:textId="77777777" w:rsidR="00BA61F3" w:rsidRDefault="00BA61F3" w:rsidP="00BA61F3">
      <w:pPr>
        <w:pStyle w:val="Prrafodelista"/>
        <w:spacing w:before="240" w:after="120" w:line="250" w:lineRule="exact"/>
        <w:ind w:left="0"/>
        <w:rPr>
          <w:rFonts w:ascii="Noto Sans" w:eastAsia="Arial Unicode MS" w:hAnsi="Noto Sans" w:cs="Noto Sans"/>
          <w:b/>
        </w:rPr>
      </w:pPr>
    </w:p>
    <w:p w14:paraId="2402D86F" w14:textId="174B5790" w:rsidR="00F76FBB" w:rsidRPr="00C746D1" w:rsidRDefault="00660031" w:rsidP="00BA61F3">
      <w:pPr>
        <w:pStyle w:val="Prrafodelista"/>
        <w:numPr>
          <w:ilvl w:val="0"/>
          <w:numId w:val="21"/>
        </w:numPr>
        <w:spacing w:before="240" w:after="120" w:line="250" w:lineRule="exact"/>
        <w:rPr>
          <w:rFonts w:ascii="Noto Sans" w:eastAsia="Arial Unicode MS" w:hAnsi="Noto Sans" w:cs="Noto Sans"/>
          <w:sz w:val="18"/>
          <w:szCs w:val="18"/>
        </w:rPr>
      </w:pPr>
      <w:r w:rsidRPr="00C746D1">
        <w:rPr>
          <w:rFonts w:ascii="Noto Sans" w:eastAsia="Arial Unicode MS" w:hAnsi="Noto Sans" w:cs="Noto Sans"/>
          <w:b/>
        </w:rPr>
        <w:t>CONCILIACIÓN ENTRE LOS INGRESOS PRESUPUESTARIOS Y CONTABLES</w:t>
      </w:r>
      <w:r w:rsidR="00BA61F3">
        <w:rPr>
          <w:rFonts w:ascii="Noto Sans" w:eastAsia="Arial Unicode MS" w:hAnsi="Noto Sans" w:cs="Noto Sans"/>
          <w:b/>
        </w:rPr>
        <w:t>.</w:t>
      </w:r>
    </w:p>
    <w:p w14:paraId="1C35D7B1" w14:textId="77777777" w:rsidR="00F76FBB" w:rsidRPr="00F76FBB" w:rsidRDefault="00F76FBB" w:rsidP="00F76FBB">
      <w:pPr>
        <w:pStyle w:val="Prrafodelista"/>
        <w:spacing w:before="240" w:after="120" w:line="250" w:lineRule="exact"/>
        <w:ind w:left="0"/>
        <w:rPr>
          <w:rFonts w:ascii="Noto Sans" w:eastAsia="Arial Unicode MS" w:hAnsi="Noto Sans" w:cs="Noto Sans"/>
          <w:sz w:val="18"/>
          <w:szCs w:val="18"/>
        </w:rPr>
      </w:pPr>
    </w:p>
    <w:tbl>
      <w:tblPr>
        <w:tblW w:w="0" w:type="auto"/>
        <w:jc w:val="center"/>
        <w:tblCellMar>
          <w:left w:w="70" w:type="dxa"/>
          <w:right w:w="70" w:type="dxa"/>
        </w:tblCellMar>
        <w:tblLook w:val="0480" w:firstRow="0" w:lastRow="0" w:firstColumn="1" w:lastColumn="0" w:noHBand="0" w:noVBand="1"/>
      </w:tblPr>
      <w:tblGrid>
        <w:gridCol w:w="6576"/>
        <w:gridCol w:w="1928"/>
      </w:tblGrid>
      <w:tr w:rsidR="009F0E12" w:rsidRPr="005946C5" w14:paraId="1E451567" w14:textId="77777777" w:rsidTr="00BA61F3">
        <w:trPr>
          <w:trHeight w:val="260"/>
          <w:jc w:val="center"/>
        </w:trPr>
        <w:tc>
          <w:tcPr>
            <w:tcW w:w="8504" w:type="dxa"/>
            <w:gridSpan w:val="2"/>
            <w:tcBorders>
              <w:top w:val="double" w:sz="12" w:space="0" w:color="A6802D"/>
              <w:left w:val="nil"/>
            </w:tcBorders>
            <w:shd w:val="clear" w:color="auto" w:fill="A6802D"/>
            <w:vAlign w:val="center"/>
          </w:tcPr>
          <w:p w14:paraId="58A07213" w14:textId="5956AFAD" w:rsidR="009F0E12" w:rsidRPr="008E629A" w:rsidRDefault="000B5821" w:rsidP="00655E4E">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 xml:space="preserve">Junio </w:t>
            </w:r>
            <w:r w:rsidR="0015653D">
              <w:rPr>
                <w:rFonts w:ascii="Montserrat" w:eastAsia="Times New Roman" w:hAnsi="Montserrat"/>
                <w:b/>
                <w:bCs/>
                <w:color w:val="FFFFFF"/>
                <w:sz w:val="16"/>
                <w:szCs w:val="16"/>
                <w:lang w:eastAsia="es-MX"/>
              </w:rPr>
              <w:t>2025</w:t>
            </w:r>
          </w:p>
        </w:tc>
      </w:tr>
      <w:tr w:rsidR="009F0E12" w:rsidRPr="005946C5" w14:paraId="34717C13" w14:textId="77777777" w:rsidTr="00BA61F3">
        <w:trPr>
          <w:trHeight w:val="260"/>
          <w:jc w:val="center"/>
        </w:trPr>
        <w:tc>
          <w:tcPr>
            <w:tcW w:w="6576" w:type="dxa"/>
            <w:tcBorders>
              <w:top w:val="single" w:sz="12" w:space="0" w:color="FFFFFF" w:themeColor="background1"/>
              <w:left w:val="nil"/>
              <w:bottom w:val="triple" w:sz="12" w:space="0" w:color="A6802D"/>
              <w:right w:val="single" w:sz="12" w:space="0" w:color="FFFFFF"/>
            </w:tcBorders>
            <w:shd w:val="clear" w:color="auto" w:fill="A6802D"/>
            <w:vAlign w:val="center"/>
            <w:hideMark/>
          </w:tcPr>
          <w:p w14:paraId="415E8771" w14:textId="77777777" w:rsidR="009F0E12" w:rsidRPr="008E629A" w:rsidRDefault="009F0E1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928" w:type="dxa"/>
            <w:tcBorders>
              <w:top w:val="single" w:sz="12" w:space="0" w:color="FFFFFF" w:themeColor="background1"/>
              <w:left w:val="nil"/>
              <w:bottom w:val="triple" w:sz="12" w:space="0" w:color="A6802D"/>
            </w:tcBorders>
            <w:shd w:val="clear" w:color="auto" w:fill="A6802D"/>
            <w:vAlign w:val="center"/>
          </w:tcPr>
          <w:p w14:paraId="627EC5A7" w14:textId="77777777" w:rsidR="009F0E12" w:rsidRPr="008E629A" w:rsidRDefault="009F0E12"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9F0E12" w:rsidRPr="005946C5" w14:paraId="74402FBA" w14:textId="77777777" w:rsidTr="00BA61F3">
        <w:trPr>
          <w:trHeight w:val="260"/>
          <w:jc w:val="center"/>
        </w:trPr>
        <w:tc>
          <w:tcPr>
            <w:tcW w:w="6576" w:type="dxa"/>
            <w:tcBorders>
              <w:top w:val="triple" w:sz="12" w:space="0" w:color="A6802D"/>
              <w:left w:val="nil"/>
              <w:bottom w:val="nil"/>
              <w:right w:val="nil"/>
            </w:tcBorders>
            <w:shd w:val="clear" w:color="000000" w:fill="F2F2F2"/>
            <w:vAlign w:val="center"/>
          </w:tcPr>
          <w:p w14:paraId="00B1A7AB" w14:textId="77777777"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1. Total de Ingresos Presupuestarios</w:t>
            </w:r>
          </w:p>
        </w:tc>
        <w:tc>
          <w:tcPr>
            <w:tcW w:w="1928" w:type="dxa"/>
            <w:tcBorders>
              <w:top w:val="triple" w:sz="12" w:space="0" w:color="A6802D"/>
              <w:left w:val="nil"/>
              <w:bottom w:val="nil"/>
              <w:right w:val="nil"/>
            </w:tcBorders>
            <w:shd w:val="clear" w:color="000000" w:fill="F2F2F2"/>
            <w:vAlign w:val="center"/>
          </w:tcPr>
          <w:p w14:paraId="3A79F887" w14:textId="20BF23CD" w:rsidR="009F0E12" w:rsidRPr="009F0E12" w:rsidRDefault="00866247">
            <w:pPr>
              <w:spacing w:after="0" w:line="240" w:lineRule="auto"/>
              <w:jc w:val="right"/>
              <w:rPr>
                <w:rFonts w:ascii="Noto Sans" w:eastAsia="Times New Roman" w:hAnsi="Noto Sans" w:cs="Noto Sans"/>
                <w:b/>
                <w:bCs/>
                <w:color w:val="000000"/>
                <w:sz w:val="15"/>
                <w:szCs w:val="15"/>
                <w:lang w:val="es-ES" w:eastAsia="es-MX"/>
              </w:rPr>
            </w:pPr>
            <w:r>
              <w:rPr>
                <w:rFonts w:ascii="Noto Sans" w:hAnsi="Noto Sans" w:cs="Noto Sans"/>
                <w:b/>
                <w:bCs/>
                <w:color w:val="000000"/>
                <w:sz w:val="15"/>
                <w:szCs w:val="15"/>
              </w:rPr>
              <w:t>799,384,421,72</w:t>
            </w:r>
            <w:r w:rsidR="000853EA">
              <w:rPr>
                <w:rFonts w:ascii="Noto Sans" w:hAnsi="Noto Sans" w:cs="Noto Sans"/>
                <w:b/>
                <w:bCs/>
                <w:color w:val="000000"/>
                <w:sz w:val="15"/>
                <w:szCs w:val="15"/>
              </w:rPr>
              <w:t>7</w:t>
            </w:r>
            <w:r w:rsidR="00D472EB">
              <w:rPr>
                <w:rFonts w:ascii="Noto Sans" w:hAnsi="Noto Sans" w:cs="Noto Sans"/>
                <w:b/>
                <w:bCs/>
                <w:color w:val="000000"/>
                <w:sz w:val="15"/>
                <w:szCs w:val="15"/>
              </w:rPr>
              <w:t>.</w:t>
            </w:r>
            <w:r w:rsidR="000853EA">
              <w:rPr>
                <w:rFonts w:ascii="Noto Sans" w:hAnsi="Noto Sans" w:cs="Noto Sans"/>
                <w:b/>
                <w:bCs/>
                <w:color w:val="000000"/>
                <w:sz w:val="15"/>
                <w:szCs w:val="15"/>
              </w:rPr>
              <w:t>6</w:t>
            </w:r>
          </w:p>
        </w:tc>
      </w:tr>
      <w:tr w:rsidR="009F0E12" w:rsidRPr="00FC0913" w14:paraId="3A30BCDD" w14:textId="77777777" w:rsidTr="00BA61F3">
        <w:trPr>
          <w:trHeight w:val="260"/>
          <w:jc w:val="center"/>
        </w:trPr>
        <w:tc>
          <w:tcPr>
            <w:tcW w:w="6576" w:type="dxa"/>
            <w:tcBorders>
              <w:top w:val="nil"/>
              <w:left w:val="nil"/>
              <w:bottom w:val="nil"/>
              <w:right w:val="nil"/>
            </w:tcBorders>
            <w:shd w:val="clear" w:color="000000" w:fill="F2F2F2"/>
            <w:vAlign w:val="center"/>
          </w:tcPr>
          <w:p w14:paraId="5D73F252" w14:textId="77777777"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2. Más Ingresos Contables No Presupuestarios</w:t>
            </w:r>
          </w:p>
        </w:tc>
        <w:tc>
          <w:tcPr>
            <w:tcW w:w="1928" w:type="dxa"/>
            <w:tcBorders>
              <w:top w:val="nil"/>
              <w:left w:val="nil"/>
              <w:bottom w:val="nil"/>
              <w:right w:val="nil"/>
            </w:tcBorders>
            <w:shd w:val="clear" w:color="000000" w:fill="F2F2F2"/>
            <w:vAlign w:val="center"/>
          </w:tcPr>
          <w:p w14:paraId="44242874" w14:textId="5C18D211" w:rsidR="009F0E12" w:rsidRPr="009F0E12" w:rsidRDefault="00866247">
            <w:pPr>
              <w:spacing w:after="0" w:line="240" w:lineRule="auto"/>
              <w:jc w:val="right"/>
              <w:rPr>
                <w:rFonts w:ascii="Noto Sans" w:eastAsia="Times New Roman" w:hAnsi="Noto Sans" w:cs="Noto Sans"/>
                <w:b/>
                <w:bCs/>
                <w:color w:val="000000"/>
                <w:sz w:val="15"/>
                <w:szCs w:val="15"/>
                <w:lang w:val="es-ES" w:eastAsia="es-MX"/>
              </w:rPr>
            </w:pPr>
            <w:r>
              <w:rPr>
                <w:rFonts w:ascii="Noto Sans" w:eastAsia="Times New Roman" w:hAnsi="Noto Sans" w:cs="Noto Sans"/>
                <w:b/>
                <w:bCs/>
                <w:color w:val="000000"/>
                <w:sz w:val="15"/>
                <w:szCs w:val="15"/>
                <w:lang w:val="es-ES" w:eastAsia="es-MX"/>
              </w:rPr>
              <w:t>4,163,951,79</w:t>
            </w:r>
            <w:r w:rsidR="00FB3BB0">
              <w:rPr>
                <w:rFonts w:ascii="Noto Sans" w:eastAsia="Times New Roman" w:hAnsi="Noto Sans" w:cs="Noto Sans"/>
                <w:b/>
                <w:bCs/>
                <w:color w:val="000000"/>
                <w:sz w:val="15"/>
                <w:szCs w:val="15"/>
                <w:lang w:val="es-ES" w:eastAsia="es-MX"/>
              </w:rPr>
              <w:t>1</w:t>
            </w:r>
            <w:r w:rsidR="00D472EB">
              <w:rPr>
                <w:rFonts w:ascii="Noto Sans" w:eastAsia="Times New Roman" w:hAnsi="Noto Sans" w:cs="Noto Sans"/>
                <w:b/>
                <w:bCs/>
                <w:color w:val="000000"/>
                <w:sz w:val="15"/>
                <w:szCs w:val="15"/>
                <w:lang w:val="es-ES" w:eastAsia="es-MX"/>
              </w:rPr>
              <w:t>.</w:t>
            </w:r>
            <w:r w:rsidR="000853EA">
              <w:rPr>
                <w:rFonts w:ascii="Noto Sans" w:eastAsia="Times New Roman" w:hAnsi="Noto Sans" w:cs="Noto Sans"/>
                <w:b/>
                <w:bCs/>
                <w:color w:val="000000"/>
                <w:sz w:val="15"/>
                <w:szCs w:val="15"/>
                <w:lang w:val="es-ES" w:eastAsia="es-MX"/>
              </w:rPr>
              <w:t>8</w:t>
            </w:r>
          </w:p>
        </w:tc>
      </w:tr>
      <w:tr w:rsidR="009F0E12" w:rsidRPr="00FC0913" w14:paraId="24CC6464" w14:textId="77777777" w:rsidTr="00BA61F3">
        <w:trPr>
          <w:trHeight w:val="260"/>
          <w:jc w:val="center"/>
        </w:trPr>
        <w:tc>
          <w:tcPr>
            <w:tcW w:w="6576" w:type="dxa"/>
            <w:tcBorders>
              <w:top w:val="nil"/>
              <w:left w:val="nil"/>
              <w:bottom w:val="nil"/>
              <w:right w:val="nil"/>
            </w:tcBorders>
            <w:shd w:val="clear" w:color="000000" w:fill="F2F2F2"/>
            <w:vAlign w:val="center"/>
          </w:tcPr>
          <w:p w14:paraId="7ACA3223"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Ingresos Financieros</w:t>
            </w:r>
          </w:p>
        </w:tc>
        <w:tc>
          <w:tcPr>
            <w:tcW w:w="1928" w:type="dxa"/>
            <w:tcBorders>
              <w:top w:val="nil"/>
              <w:left w:val="nil"/>
              <w:bottom w:val="nil"/>
              <w:right w:val="nil"/>
            </w:tcBorders>
            <w:shd w:val="clear" w:color="000000" w:fill="F2F2F2"/>
            <w:vAlign w:val="center"/>
          </w:tcPr>
          <w:p w14:paraId="39F27056" w14:textId="21D3618C" w:rsidR="00C603D0" w:rsidRPr="009F0E12" w:rsidRDefault="00D472EB" w:rsidP="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w:t>
            </w:r>
            <w:r w:rsidR="00C603D0">
              <w:rPr>
                <w:rFonts w:ascii="Noto Sans" w:eastAsia="Times New Roman" w:hAnsi="Noto Sans" w:cs="Noto Sans"/>
                <w:color w:val="000000"/>
                <w:sz w:val="15"/>
                <w:szCs w:val="15"/>
                <w:lang w:val="es-ES" w:eastAsia="es-MX"/>
              </w:rPr>
              <w:t>0</w:t>
            </w:r>
          </w:p>
        </w:tc>
      </w:tr>
      <w:tr w:rsidR="009F0E12" w:rsidRPr="00FC0913" w14:paraId="291E6D7E" w14:textId="77777777" w:rsidTr="00BA61F3">
        <w:trPr>
          <w:trHeight w:val="260"/>
          <w:jc w:val="center"/>
        </w:trPr>
        <w:tc>
          <w:tcPr>
            <w:tcW w:w="6576" w:type="dxa"/>
            <w:tcBorders>
              <w:top w:val="nil"/>
              <w:left w:val="nil"/>
              <w:bottom w:val="nil"/>
              <w:right w:val="nil"/>
            </w:tcBorders>
            <w:shd w:val="clear" w:color="000000" w:fill="F2F2F2"/>
            <w:vAlign w:val="center"/>
          </w:tcPr>
          <w:p w14:paraId="50341F4D" w14:textId="68A0A3BD"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Incremento por Variación de Inventarios</w:t>
            </w:r>
          </w:p>
        </w:tc>
        <w:tc>
          <w:tcPr>
            <w:tcW w:w="1928" w:type="dxa"/>
            <w:tcBorders>
              <w:top w:val="nil"/>
              <w:left w:val="nil"/>
              <w:bottom w:val="nil"/>
              <w:right w:val="nil"/>
            </w:tcBorders>
            <w:shd w:val="clear" w:color="000000" w:fill="F2F2F2"/>
            <w:vAlign w:val="center"/>
          </w:tcPr>
          <w:p w14:paraId="7AA1B80B" w14:textId="0DB7286F" w:rsidR="009F0E12" w:rsidRPr="009F0E12" w:rsidRDefault="00A41B93">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2,875,756,81</w:t>
            </w:r>
            <w:r w:rsidR="00FB3BB0">
              <w:rPr>
                <w:rFonts w:ascii="Noto Sans" w:eastAsia="Times New Roman" w:hAnsi="Noto Sans" w:cs="Noto Sans"/>
                <w:color w:val="000000"/>
                <w:sz w:val="15"/>
                <w:szCs w:val="15"/>
                <w:lang w:val="es-ES" w:eastAsia="es-MX"/>
              </w:rPr>
              <w:t>4</w:t>
            </w:r>
            <w:r w:rsidR="00D472EB">
              <w:rPr>
                <w:rFonts w:ascii="Noto Sans" w:eastAsia="Times New Roman" w:hAnsi="Noto Sans" w:cs="Noto Sans"/>
                <w:color w:val="000000"/>
                <w:sz w:val="15"/>
                <w:szCs w:val="15"/>
                <w:lang w:val="es-ES" w:eastAsia="es-MX"/>
              </w:rPr>
              <w:t>.</w:t>
            </w:r>
            <w:r w:rsidR="000853EA">
              <w:rPr>
                <w:rFonts w:ascii="Noto Sans" w:eastAsia="Times New Roman" w:hAnsi="Noto Sans" w:cs="Noto Sans"/>
                <w:color w:val="000000"/>
                <w:sz w:val="15"/>
                <w:szCs w:val="15"/>
                <w:lang w:val="es-ES" w:eastAsia="es-MX"/>
              </w:rPr>
              <w:t>5</w:t>
            </w:r>
          </w:p>
        </w:tc>
      </w:tr>
      <w:tr w:rsidR="009F0E12" w:rsidRPr="00FC0913" w14:paraId="7EECAD60" w14:textId="77777777" w:rsidTr="00BA61F3">
        <w:trPr>
          <w:trHeight w:val="260"/>
          <w:jc w:val="center"/>
        </w:trPr>
        <w:tc>
          <w:tcPr>
            <w:tcW w:w="6576" w:type="dxa"/>
            <w:tcBorders>
              <w:top w:val="nil"/>
              <w:left w:val="nil"/>
              <w:bottom w:val="nil"/>
              <w:right w:val="nil"/>
            </w:tcBorders>
            <w:shd w:val="clear" w:color="000000" w:fill="F2F2F2"/>
            <w:vAlign w:val="center"/>
          </w:tcPr>
          <w:p w14:paraId="0F5B390B" w14:textId="77777777" w:rsidR="009F0E12" w:rsidRPr="009F0E12" w:rsidRDefault="009F0E12">
            <w:pPr>
              <w:spacing w:after="0" w:line="240" w:lineRule="auto"/>
              <w:ind w:left="284" w:firstLineChars="10" w:firstLine="15"/>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Disminución del Exceso de Estimaciones por Pérdida o Deterioro u Obsolescencia</w:t>
            </w:r>
          </w:p>
        </w:tc>
        <w:tc>
          <w:tcPr>
            <w:tcW w:w="1928" w:type="dxa"/>
            <w:tcBorders>
              <w:top w:val="nil"/>
              <w:left w:val="nil"/>
              <w:bottom w:val="nil"/>
              <w:right w:val="nil"/>
            </w:tcBorders>
            <w:shd w:val="clear" w:color="000000" w:fill="F2F2F2"/>
            <w:vAlign w:val="center"/>
          </w:tcPr>
          <w:p w14:paraId="39A80C4D" w14:textId="1BDC85DF" w:rsidR="00C603D0" w:rsidRPr="009F0E12" w:rsidRDefault="00D472EB" w:rsidP="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w:t>
            </w:r>
            <w:r w:rsidR="00C603D0">
              <w:rPr>
                <w:rFonts w:ascii="Noto Sans" w:eastAsia="Times New Roman" w:hAnsi="Noto Sans" w:cs="Noto Sans"/>
                <w:color w:val="000000"/>
                <w:sz w:val="15"/>
                <w:szCs w:val="15"/>
                <w:lang w:val="es-ES" w:eastAsia="es-MX"/>
              </w:rPr>
              <w:t>0</w:t>
            </w:r>
          </w:p>
        </w:tc>
      </w:tr>
      <w:tr w:rsidR="009F0E12" w:rsidRPr="00FC0913" w14:paraId="73C268C7" w14:textId="77777777" w:rsidTr="00BA61F3">
        <w:trPr>
          <w:trHeight w:val="260"/>
          <w:jc w:val="center"/>
        </w:trPr>
        <w:tc>
          <w:tcPr>
            <w:tcW w:w="6576" w:type="dxa"/>
            <w:tcBorders>
              <w:top w:val="nil"/>
              <w:left w:val="nil"/>
              <w:bottom w:val="nil"/>
              <w:right w:val="nil"/>
            </w:tcBorders>
            <w:shd w:val="clear" w:color="000000" w:fill="F2F2F2"/>
            <w:vAlign w:val="center"/>
          </w:tcPr>
          <w:p w14:paraId="58C4400C" w14:textId="2F229F1A"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Disminución del Exceso de Provisiones</w:t>
            </w:r>
          </w:p>
        </w:tc>
        <w:tc>
          <w:tcPr>
            <w:tcW w:w="1928" w:type="dxa"/>
            <w:tcBorders>
              <w:top w:val="nil"/>
              <w:left w:val="nil"/>
              <w:bottom w:val="nil"/>
              <w:right w:val="nil"/>
            </w:tcBorders>
            <w:shd w:val="clear" w:color="000000" w:fill="F2F2F2"/>
            <w:vAlign w:val="center"/>
          </w:tcPr>
          <w:p w14:paraId="7BD9F614" w14:textId="24159B2A" w:rsidR="009F0E12" w:rsidRPr="009F0E12" w:rsidRDefault="004E71C3">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393,860</w:t>
            </w:r>
            <w:r w:rsidR="00D472EB">
              <w:rPr>
                <w:rFonts w:ascii="Noto Sans" w:eastAsia="Times New Roman" w:hAnsi="Noto Sans" w:cs="Noto Sans"/>
                <w:color w:val="000000"/>
                <w:sz w:val="15"/>
                <w:szCs w:val="15"/>
                <w:lang w:val="es-ES" w:eastAsia="es-MX"/>
              </w:rPr>
              <w:t>.</w:t>
            </w:r>
            <w:r w:rsidR="000853EA">
              <w:rPr>
                <w:rFonts w:ascii="Noto Sans" w:eastAsia="Times New Roman" w:hAnsi="Noto Sans" w:cs="Noto Sans"/>
                <w:color w:val="000000"/>
                <w:sz w:val="15"/>
                <w:szCs w:val="15"/>
                <w:lang w:val="es-ES" w:eastAsia="es-MX"/>
              </w:rPr>
              <w:t>4</w:t>
            </w:r>
          </w:p>
        </w:tc>
      </w:tr>
      <w:tr w:rsidR="009F0E12" w:rsidRPr="00FC0913" w14:paraId="6A79D136" w14:textId="77777777" w:rsidTr="00BA61F3">
        <w:trPr>
          <w:trHeight w:val="260"/>
          <w:jc w:val="center"/>
        </w:trPr>
        <w:tc>
          <w:tcPr>
            <w:tcW w:w="6576" w:type="dxa"/>
            <w:tcBorders>
              <w:top w:val="nil"/>
              <w:left w:val="nil"/>
              <w:bottom w:val="nil"/>
              <w:right w:val="nil"/>
            </w:tcBorders>
            <w:shd w:val="clear" w:color="000000" w:fill="F2F2F2"/>
            <w:vAlign w:val="center"/>
          </w:tcPr>
          <w:p w14:paraId="043AA2E4"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Otros Ingresos y Beneficios Varios</w:t>
            </w:r>
          </w:p>
        </w:tc>
        <w:tc>
          <w:tcPr>
            <w:tcW w:w="1928" w:type="dxa"/>
            <w:tcBorders>
              <w:top w:val="nil"/>
              <w:left w:val="nil"/>
              <w:bottom w:val="nil"/>
              <w:right w:val="nil"/>
            </w:tcBorders>
            <w:shd w:val="clear" w:color="000000" w:fill="F2F2F2"/>
            <w:vAlign w:val="center"/>
          </w:tcPr>
          <w:p w14:paraId="5887BD66" w14:textId="47816355" w:rsidR="009F0E12" w:rsidRPr="009F0E12" w:rsidRDefault="004E71C3">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1,287,801,11</w:t>
            </w:r>
            <w:r w:rsidR="000853EA">
              <w:rPr>
                <w:rFonts w:ascii="Noto Sans" w:eastAsia="Times New Roman" w:hAnsi="Noto Sans" w:cs="Noto Sans"/>
                <w:color w:val="000000"/>
                <w:sz w:val="15"/>
                <w:szCs w:val="15"/>
                <w:lang w:val="es-ES" w:eastAsia="es-MX"/>
              </w:rPr>
              <w:t>6</w:t>
            </w:r>
            <w:r w:rsidR="00D472EB">
              <w:rPr>
                <w:rFonts w:ascii="Noto Sans" w:eastAsia="Times New Roman" w:hAnsi="Noto Sans" w:cs="Noto Sans"/>
                <w:color w:val="000000"/>
                <w:sz w:val="15"/>
                <w:szCs w:val="15"/>
                <w:lang w:val="es-ES" w:eastAsia="es-MX"/>
              </w:rPr>
              <w:t>.</w:t>
            </w:r>
            <w:r w:rsidR="000853EA">
              <w:rPr>
                <w:rFonts w:ascii="Noto Sans" w:eastAsia="Times New Roman" w:hAnsi="Noto Sans" w:cs="Noto Sans"/>
                <w:color w:val="000000"/>
                <w:sz w:val="15"/>
                <w:szCs w:val="15"/>
                <w:lang w:val="es-ES" w:eastAsia="es-MX"/>
              </w:rPr>
              <w:t>9</w:t>
            </w:r>
          </w:p>
        </w:tc>
      </w:tr>
      <w:tr w:rsidR="009F0E12" w:rsidRPr="00FC0913" w14:paraId="45C25D78" w14:textId="77777777" w:rsidTr="00BA61F3">
        <w:trPr>
          <w:trHeight w:val="260"/>
          <w:jc w:val="center"/>
        </w:trPr>
        <w:tc>
          <w:tcPr>
            <w:tcW w:w="6576" w:type="dxa"/>
            <w:tcBorders>
              <w:top w:val="nil"/>
              <w:left w:val="nil"/>
              <w:bottom w:val="nil"/>
              <w:right w:val="nil"/>
            </w:tcBorders>
            <w:shd w:val="clear" w:color="000000" w:fill="F2F2F2"/>
            <w:vAlign w:val="center"/>
          </w:tcPr>
          <w:p w14:paraId="5E5BF8AE"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Otros Ingresos Contables No Presupuestarios</w:t>
            </w:r>
          </w:p>
        </w:tc>
        <w:tc>
          <w:tcPr>
            <w:tcW w:w="1928" w:type="dxa"/>
            <w:tcBorders>
              <w:top w:val="nil"/>
              <w:left w:val="nil"/>
              <w:bottom w:val="nil"/>
              <w:right w:val="nil"/>
            </w:tcBorders>
            <w:shd w:val="clear" w:color="000000" w:fill="F2F2F2"/>
            <w:vAlign w:val="center"/>
          </w:tcPr>
          <w:p w14:paraId="096012EA" w14:textId="37E5D616" w:rsidR="00C603D0" w:rsidRPr="009F0E12" w:rsidRDefault="00D472EB" w:rsidP="00C603D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w:t>
            </w:r>
            <w:r w:rsidR="00C603D0">
              <w:rPr>
                <w:rFonts w:ascii="Noto Sans" w:eastAsia="Times New Roman" w:hAnsi="Noto Sans" w:cs="Noto Sans"/>
                <w:color w:val="000000"/>
                <w:sz w:val="15"/>
                <w:szCs w:val="15"/>
                <w:lang w:val="es-ES" w:eastAsia="es-MX"/>
              </w:rPr>
              <w:t>0</w:t>
            </w:r>
          </w:p>
        </w:tc>
      </w:tr>
      <w:tr w:rsidR="009F0E12" w:rsidRPr="00FC0913" w14:paraId="141C4C94" w14:textId="77777777" w:rsidTr="00BA61F3">
        <w:trPr>
          <w:trHeight w:val="260"/>
          <w:jc w:val="center"/>
        </w:trPr>
        <w:tc>
          <w:tcPr>
            <w:tcW w:w="6576" w:type="dxa"/>
            <w:tcBorders>
              <w:top w:val="nil"/>
              <w:left w:val="nil"/>
              <w:bottom w:val="nil"/>
              <w:right w:val="nil"/>
            </w:tcBorders>
            <w:shd w:val="clear" w:color="000000" w:fill="F2F2F2"/>
            <w:vAlign w:val="center"/>
          </w:tcPr>
          <w:p w14:paraId="4C88A2DA" w14:textId="1146C7A5"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3. Menos Ingresos Presupuestarios No Contables</w:t>
            </w:r>
          </w:p>
        </w:tc>
        <w:tc>
          <w:tcPr>
            <w:tcW w:w="1928" w:type="dxa"/>
            <w:tcBorders>
              <w:top w:val="nil"/>
              <w:left w:val="nil"/>
              <w:bottom w:val="nil"/>
              <w:right w:val="nil"/>
            </w:tcBorders>
            <w:shd w:val="clear" w:color="000000" w:fill="F2F2F2"/>
            <w:vAlign w:val="center"/>
          </w:tcPr>
          <w:p w14:paraId="30DC725E" w14:textId="6A17650C" w:rsidR="009F0E12" w:rsidRPr="009F0E12" w:rsidRDefault="004E71C3">
            <w:pPr>
              <w:spacing w:after="0" w:line="240" w:lineRule="auto"/>
              <w:jc w:val="right"/>
              <w:rPr>
                <w:rFonts w:ascii="Noto Sans" w:eastAsia="Times New Roman" w:hAnsi="Noto Sans" w:cs="Noto Sans"/>
                <w:b/>
                <w:bCs/>
                <w:color w:val="000000"/>
                <w:sz w:val="15"/>
                <w:szCs w:val="15"/>
                <w:lang w:val="es-ES" w:eastAsia="es-MX"/>
              </w:rPr>
            </w:pPr>
            <w:r>
              <w:rPr>
                <w:rFonts w:ascii="Noto Sans" w:eastAsia="Times New Roman" w:hAnsi="Noto Sans" w:cs="Noto Sans"/>
                <w:b/>
                <w:bCs/>
                <w:color w:val="000000"/>
                <w:sz w:val="15"/>
                <w:szCs w:val="15"/>
                <w:lang w:val="es-ES" w:eastAsia="es-MX"/>
              </w:rPr>
              <w:t>399,305</w:t>
            </w:r>
            <w:r w:rsidR="00FB3BB0">
              <w:rPr>
                <w:rFonts w:ascii="Noto Sans" w:eastAsia="Times New Roman" w:hAnsi="Noto Sans" w:cs="Noto Sans"/>
                <w:b/>
                <w:bCs/>
                <w:color w:val="000000"/>
                <w:sz w:val="15"/>
                <w:szCs w:val="15"/>
                <w:lang w:val="es-ES" w:eastAsia="es-MX"/>
              </w:rPr>
              <w:t>,</w:t>
            </w:r>
            <w:r>
              <w:rPr>
                <w:rFonts w:ascii="Noto Sans" w:eastAsia="Times New Roman" w:hAnsi="Noto Sans" w:cs="Noto Sans"/>
                <w:b/>
                <w:bCs/>
                <w:color w:val="000000"/>
                <w:sz w:val="15"/>
                <w:szCs w:val="15"/>
                <w:lang w:val="es-ES" w:eastAsia="es-MX"/>
              </w:rPr>
              <w:t>701</w:t>
            </w:r>
            <w:r w:rsidR="007A64C4">
              <w:rPr>
                <w:rFonts w:ascii="Noto Sans" w:eastAsia="Times New Roman" w:hAnsi="Noto Sans" w:cs="Noto Sans"/>
                <w:b/>
                <w:bCs/>
                <w:color w:val="000000"/>
                <w:sz w:val="15"/>
                <w:szCs w:val="15"/>
                <w:lang w:val="es-ES" w:eastAsia="es-MX"/>
              </w:rPr>
              <w:t>,</w:t>
            </w:r>
            <w:r>
              <w:rPr>
                <w:rFonts w:ascii="Noto Sans" w:eastAsia="Times New Roman" w:hAnsi="Noto Sans" w:cs="Noto Sans"/>
                <w:b/>
                <w:bCs/>
                <w:color w:val="000000"/>
                <w:sz w:val="15"/>
                <w:szCs w:val="15"/>
                <w:lang w:val="es-ES" w:eastAsia="es-MX"/>
              </w:rPr>
              <w:t>82</w:t>
            </w:r>
            <w:r w:rsidR="000853EA">
              <w:rPr>
                <w:rFonts w:ascii="Noto Sans" w:eastAsia="Times New Roman" w:hAnsi="Noto Sans" w:cs="Noto Sans"/>
                <w:b/>
                <w:bCs/>
                <w:color w:val="000000"/>
                <w:sz w:val="15"/>
                <w:szCs w:val="15"/>
                <w:lang w:val="es-ES" w:eastAsia="es-MX"/>
              </w:rPr>
              <w:t>7</w:t>
            </w:r>
            <w:r w:rsidR="00D472EB">
              <w:rPr>
                <w:rFonts w:ascii="Noto Sans" w:eastAsia="Times New Roman" w:hAnsi="Noto Sans" w:cs="Noto Sans"/>
                <w:b/>
                <w:bCs/>
                <w:color w:val="000000"/>
                <w:sz w:val="15"/>
                <w:szCs w:val="15"/>
                <w:lang w:val="es-ES" w:eastAsia="es-MX"/>
              </w:rPr>
              <w:t>.</w:t>
            </w:r>
            <w:r w:rsidR="000853EA">
              <w:rPr>
                <w:rFonts w:ascii="Noto Sans" w:eastAsia="Times New Roman" w:hAnsi="Noto Sans" w:cs="Noto Sans"/>
                <w:b/>
                <w:bCs/>
                <w:color w:val="000000"/>
                <w:sz w:val="15"/>
                <w:szCs w:val="15"/>
                <w:lang w:val="es-ES" w:eastAsia="es-MX"/>
              </w:rPr>
              <w:t>8</w:t>
            </w:r>
          </w:p>
        </w:tc>
      </w:tr>
      <w:tr w:rsidR="009F0E12" w:rsidRPr="00FC0913" w14:paraId="1A339140" w14:textId="77777777" w:rsidTr="00BA61F3">
        <w:trPr>
          <w:trHeight w:val="260"/>
          <w:jc w:val="center"/>
        </w:trPr>
        <w:tc>
          <w:tcPr>
            <w:tcW w:w="6576" w:type="dxa"/>
            <w:tcBorders>
              <w:top w:val="nil"/>
              <w:left w:val="nil"/>
              <w:bottom w:val="nil"/>
              <w:right w:val="nil"/>
            </w:tcBorders>
            <w:shd w:val="clear" w:color="000000" w:fill="F2F2F2"/>
            <w:vAlign w:val="center"/>
          </w:tcPr>
          <w:p w14:paraId="1CB287BC"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Aprovechamiento Patrimoniales</w:t>
            </w:r>
          </w:p>
        </w:tc>
        <w:tc>
          <w:tcPr>
            <w:tcW w:w="1928" w:type="dxa"/>
            <w:tcBorders>
              <w:top w:val="nil"/>
              <w:left w:val="nil"/>
              <w:bottom w:val="nil"/>
              <w:right w:val="nil"/>
            </w:tcBorders>
            <w:shd w:val="clear" w:color="000000" w:fill="F2F2F2"/>
            <w:vAlign w:val="center"/>
          </w:tcPr>
          <w:p w14:paraId="080DF318" w14:textId="1C23E9DB" w:rsidR="009F0E12" w:rsidRPr="009F0E12" w:rsidRDefault="00D472EB">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w:t>
            </w:r>
            <w:r w:rsidR="006E2761">
              <w:rPr>
                <w:rFonts w:ascii="Noto Sans" w:eastAsia="Times New Roman" w:hAnsi="Noto Sans" w:cs="Noto Sans"/>
                <w:color w:val="000000"/>
                <w:sz w:val="15"/>
                <w:szCs w:val="15"/>
                <w:lang w:val="es-ES" w:eastAsia="es-MX"/>
              </w:rPr>
              <w:t>0</w:t>
            </w:r>
          </w:p>
        </w:tc>
      </w:tr>
      <w:tr w:rsidR="009F0E12" w:rsidRPr="00FC0913" w14:paraId="78A4064D" w14:textId="77777777" w:rsidTr="00BA61F3">
        <w:trPr>
          <w:trHeight w:val="260"/>
          <w:jc w:val="center"/>
        </w:trPr>
        <w:tc>
          <w:tcPr>
            <w:tcW w:w="6576" w:type="dxa"/>
            <w:tcBorders>
              <w:top w:val="nil"/>
              <w:left w:val="nil"/>
              <w:bottom w:val="nil"/>
              <w:right w:val="nil"/>
            </w:tcBorders>
            <w:shd w:val="clear" w:color="000000" w:fill="F2F2F2"/>
            <w:vAlign w:val="center"/>
          </w:tcPr>
          <w:p w14:paraId="4757FA33"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Ingresos Derivados Financiamientos</w:t>
            </w:r>
          </w:p>
        </w:tc>
        <w:tc>
          <w:tcPr>
            <w:tcW w:w="1928" w:type="dxa"/>
            <w:tcBorders>
              <w:top w:val="nil"/>
              <w:left w:val="nil"/>
              <w:bottom w:val="nil"/>
              <w:right w:val="nil"/>
            </w:tcBorders>
            <w:shd w:val="clear" w:color="000000" w:fill="F2F2F2"/>
            <w:vAlign w:val="center"/>
          </w:tcPr>
          <w:p w14:paraId="152647FA" w14:textId="32917EA5" w:rsidR="009F0E12" w:rsidRPr="009F0E12" w:rsidRDefault="00D472EB">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w:t>
            </w:r>
            <w:r w:rsidR="006E2761">
              <w:rPr>
                <w:rFonts w:ascii="Noto Sans" w:eastAsia="Times New Roman" w:hAnsi="Noto Sans" w:cs="Noto Sans"/>
                <w:color w:val="000000"/>
                <w:sz w:val="15"/>
                <w:szCs w:val="15"/>
                <w:lang w:val="es-ES" w:eastAsia="es-MX"/>
              </w:rPr>
              <w:t>0</w:t>
            </w:r>
          </w:p>
        </w:tc>
      </w:tr>
      <w:tr w:rsidR="009F0E12" w:rsidRPr="00FC0913" w14:paraId="735663FB" w14:textId="77777777" w:rsidTr="00BA61F3">
        <w:trPr>
          <w:trHeight w:val="260"/>
          <w:jc w:val="center"/>
        </w:trPr>
        <w:tc>
          <w:tcPr>
            <w:tcW w:w="6576" w:type="dxa"/>
            <w:tcBorders>
              <w:top w:val="nil"/>
              <w:left w:val="nil"/>
              <w:bottom w:val="nil"/>
              <w:right w:val="nil"/>
            </w:tcBorders>
            <w:shd w:val="clear" w:color="000000" w:fill="F2F2F2"/>
            <w:vAlign w:val="center"/>
          </w:tcPr>
          <w:p w14:paraId="4792B8ED" w14:textId="77777777" w:rsidR="009F0E12" w:rsidRPr="009F0E12" w:rsidRDefault="009F0E12">
            <w:pPr>
              <w:spacing w:after="0" w:line="240" w:lineRule="auto"/>
              <w:ind w:firstLineChars="200" w:firstLine="300"/>
              <w:rPr>
                <w:rFonts w:ascii="Noto Sans" w:eastAsia="Times New Roman" w:hAnsi="Noto Sans" w:cs="Noto Sans"/>
                <w:color w:val="000000"/>
                <w:sz w:val="15"/>
                <w:szCs w:val="15"/>
                <w:lang w:val="es-ES" w:eastAsia="es-MX"/>
              </w:rPr>
            </w:pPr>
            <w:r w:rsidRPr="009F0E12">
              <w:rPr>
                <w:rFonts w:ascii="Noto Sans" w:eastAsia="Times New Roman" w:hAnsi="Noto Sans" w:cs="Noto Sans"/>
                <w:color w:val="000000"/>
                <w:sz w:val="15"/>
                <w:szCs w:val="15"/>
                <w:lang w:eastAsia="es-MX"/>
              </w:rPr>
              <w:t>Otros Ingresos Presupuestales No Contables</w:t>
            </w:r>
          </w:p>
        </w:tc>
        <w:tc>
          <w:tcPr>
            <w:tcW w:w="1928" w:type="dxa"/>
            <w:tcBorders>
              <w:top w:val="nil"/>
              <w:left w:val="nil"/>
              <w:bottom w:val="nil"/>
              <w:right w:val="nil"/>
            </w:tcBorders>
            <w:shd w:val="clear" w:color="000000" w:fill="F2F2F2"/>
            <w:vAlign w:val="center"/>
          </w:tcPr>
          <w:p w14:paraId="62CD26CD" w14:textId="0AFF79ED" w:rsidR="009F0E12" w:rsidRPr="00D86CEC" w:rsidRDefault="00D86CEC">
            <w:pPr>
              <w:spacing w:after="0" w:line="240" w:lineRule="auto"/>
              <w:jc w:val="right"/>
              <w:rPr>
                <w:rFonts w:ascii="Noto Sans" w:eastAsia="Times New Roman" w:hAnsi="Noto Sans" w:cs="Noto Sans"/>
                <w:color w:val="000000"/>
                <w:sz w:val="15"/>
                <w:szCs w:val="15"/>
                <w:lang w:val="es-ES" w:eastAsia="es-MX"/>
              </w:rPr>
            </w:pPr>
            <w:r w:rsidRPr="00D86CEC">
              <w:rPr>
                <w:rFonts w:ascii="Noto Sans" w:eastAsia="Times New Roman" w:hAnsi="Noto Sans" w:cs="Noto Sans"/>
                <w:color w:val="000000"/>
                <w:sz w:val="15"/>
                <w:szCs w:val="15"/>
                <w:lang w:val="es-ES" w:eastAsia="es-MX"/>
              </w:rPr>
              <w:t>399,305,701</w:t>
            </w:r>
            <w:r w:rsidR="007A64C4">
              <w:rPr>
                <w:rFonts w:ascii="Noto Sans" w:eastAsia="Times New Roman" w:hAnsi="Noto Sans" w:cs="Noto Sans"/>
                <w:color w:val="000000"/>
                <w:sz w:val="15"/>
                <w:szCs w:val="15"/>
                <w:lang w:val="es-ES" w:eastAsia="es-MX"/>
              </w:rPr>
              <w:t>,</w:t>
            </w:r>
            <w:r w:rsidRPr="00D86CEC">
              <w:rPr>
                <w:rFonts w:ascii="Noto Sans" w:eastAsia="Times New Roman" w:hAnsi="Noto Sans" w:cs="Noto Sans"/>
                <w:color w:val="000000"/>
                <w:sz w:val="15"/>
                <w:szCs w:val="15"/>
                <w:lang w:val="es-ES" w:eastAsia="es-MX"/>
              </w:rPr>
              <w:t>82</w:t>
            </w:r>
            <w:r w:rsidR="000853EA">
              <w:rPr>
                <w:rFonts w:ascii="Noto Sans" w:eastAsia="Times New Roman" w:hAnsi="Noto Sans" w:cs="Noto Sans"/>
                <w:color w:val="000000"/>
                <w:sz w:val="15"/>
                <w:szCs w:val="15"/>
                <w:lang w:val="es-ES" w:eastAsia="es-MX"/>
              </w:rPr>
              <w:t>7</w:t>
            </w:r>
            <w:r w:rsidRPr="00D86CEC">
              <w:rPr>
                <w:rFonts w:ascii="Noto Sans" w:eastAsia="Times New Roman" w:hAnsi="Noto Sans" w:cs="Noto Sans"/>
                <w:color w:val="000000"/>
                <w:sz w:val="15"/>
                <w:szCs w:val="15"/>
                <w:lang w:val="es-ES" w:eastAsia="es-MX"/>
              </w:rPr>
              <w:t>.</w:t>
            </w:r>
            <w:r w:rsidR="000853EA">
              <w:rPr>
                <w:rFonts w:ascii="Noto Sans" w:eastAsia="Times New Roman" w:hAnsi="Noto Sans" w:cs="Noto Sans"/>
                <w:color w:val="000000"/>
                <w:sz w:val="15"/>
                <w:szCs w:val="15"/>
                <w:lang w:val="es-ES" w:eastAsia="es-MX"/>
              </w:rPr>
              <w:t>8</w:t>
            </w:r>
          </w:p>
        </w:tc>
      </w:tr>
      <w:tr w:rsidR="009F0E12" w:rsidRPr="005946C5" w14:paraId="55A9D6F8" w14:textId="77777777" w:rsidTr="00BA61F3">
        <w:trPr>
          <w:trHeight w:val="260"/>
          <w:jc w:val="center"/>
        </w:trPr>
        <w:tc>
          <w:tcPr>
            <w:tcW w:w="6576" w:type="dxa"/>
            <w:tcBorders>
              <w:top w:val="nil"/>
              <w:left w:val="nil"/>
              <w:bottom w:val="single" w:sz="12" w:space="0" w:color="A6802D"/>
              <w:right w:val="nil"/>
            </w:tcBorders>
            <w:shd w:val="clear" w:color="000000" w:fill="F2F2F2"/>
            <w:vAlign w:val="center"/>
          </w:tcPr>
          <w:p w14:paraId="54468865" w14:textId="77777777" w:rsidR="009F0E12" w:rsidRPr="009F0E12" w:rsidRDefault="009F0E12">
            <w:pPr>
              <w:spacing w:after="0" w:line="240" w:lineRule="auto"/>
              <w:rPr>
                <w:rFonts w:ascii="Noto Sans" w:eastAsia="Times New Roman" w:hAnsi="Noto Sans" w:cs="Noto Sans"/>
                <w:b/>
                <w:bCs/>
                <w:color w:val="000000"/>
                <w:sz w:val="15"/>
                <w:szCs w:val="15"/>
                <w:lang w:val="es-ES" w:eastAsia="es-MX"/>
              </w:rPr>
            </w:pPr>
            <w:r w:rsidRPr="009F0E12">
              <w:rPr>
                <w:rFonts w:ascii="Noto Sans" w:eastAsia="Times New Roman" w:hAnsi="Noto Sans" w:cs="Noto Sans"/>
                <w:b/>
                <w:bCs/>
                <w:color w:val="000000"/>
                <w:sz w:val="15"/>
                <w:szCs w:val="15"/>
                <w:lang w:eastAsia="es-MX"/>
              </w:rPr>
              <w:t>4. Total de Ingresos Contables</w:t>
            </w:r>
          </w:p>
        </w:tc>
        <w:tc>
          <w:tcPr>
            <w:tcW w:w="1928" w:type="dxa"/>
            <w:tcBorders>
              <w:top w:val="nil"/>
              <w:left w:val="nil"/>
              <w:bottom w:val="single" w:sz="12" w:space="0" w:color="A6802D"/>
              <w:right w:val="nil"/>
            </w:tcBorders>
            <w:shd w:val="clear" w:color="000000" w:fill="F2F2F2"/>
            <w:vAlign w:val="center"/>
          </w:tcPr>
          <w:p w14:paraId="30EB8068" w14:textId="3E913B26" w:rsidR="009F0E12" w:rsidRPr="009F0E12" w:rsidRDefault="00BE7C87">
            <w:pPr>
              <w:spacing w:after="0" w:line="240" w:lineRule="auto"/>
              <w:jc w:val="right"/>
              <w:rPr>
                <w:rFonts w:ascii="Noto Sans" w:hAnsi="Noto Sans" w:cs="Noto Sans"/>
                <w:b/>
                <w:bCs/>
                <w:color w:val="000000"/>
                <w:sz w:val="15"/>
                <w:szCs w:val="15"/>
                <w:lang w:eastAsia="es-MX"/>
              </w:rPr>
            </w:pPr>
            <w:r>
              <w:rPr>
                <w:rFonts w:ascii="Noto Sans" w:hAnsi="Noto Sans" w:cs="Noto Sans"/>
                <w:b/>
                <w:bCs/>
                <w:color w:val="000000"/>
                <w:sz w:val="15"/>
                <w:szCs w:val="15"/>
                <w:lang w:eastAsia="es-MX"/>
              </w:rPr>
              <w:t>404,242,671,691</w:t>
            </w:r>
            <w:r w:rsidR="00D472EB">
              <w:rPr>
                <w:rFonts w:ascii="Noto Sans" w:hAnsi="Noto Sans" w:cs="Noto Sans"/>
                <w:b/>
                <w:bCs/>
                <w:color w:val="000000"/>
                <w:sz w:val="15"/>
                <w:szCs w:val="15"/>
                <w:lang w:eastAsia="es-MX"/>
              </w:rPr>
              <w:t>.</w:t>
            </w:r>
            <w:r w:rsidR="000853EA">
              <w:rPr>
                <w:rFonts w:ascii="Noto Sans" w:hAnsi="Noto Sans" w:cs="Noto Sans"/>
                <w:b/>
                <w:bCs/>
                <w:color w:val="000000"/>
                <w:sz w:val="15"/>
                <w:szCs w:val="15"/>
                <w:lang w:eastAsia="es-MX"/>
              </w:rPr>
              <w:t>6</w:t>
            </w:r>
          </w:p>
        </w:tc>
      </w:tr>
      <w:tr w:rsidR="009F0E12" w:rsidRPr="00274555" w14:paraId="384CFDB0" w14:textId="77777777" w:rsidTr="00BA61F3">
        <w:trPr>
          <w:trHeight w:val="296"/>
          <w:jc w:val="center"/>
        </w:trPr>
        <w:tc>
          <w:tcPr>
            <w:tcW w:w="8504" w:type="dxa"/>
            <w:gridSpan w:val="2"/>
            <w:tcBorders>
              <w:top w:val="single" w:sz="12" w:space="0" w:color="A6802D"/>
              <w:left w:val="nil"/>
            </w:tcBorders>
            <w:vAlign w:val="center"/>
          </w:tcPr>
          <w:p w14:paraId="6FA8C2FB" w14:textId="77777777" w:rsidR="009F0E12" w:rsidRPr="00274555" w:rsidRDefault="009F0E12" w:rsidP="00655E4E">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68DE32CB" w14:textId="77777777" w:rsidR="00BA61F3" w:rsidRDefault="00BA61F3" w:rsidP="00BA61F3">
      <w:pPr>
        <w:spacing w:before="240" w:after="120" w:line="250" w:lineRule="exact"/>
        <w:rPr>
          <w:rFonts w:ascii="Noto Sans" w:eastAsia="Arial Unicode MS" w:hAnsi="Noto Sans" w:cs="Noto Sans"/>
          <w:b/>
        </w:rPr>
      </w:pPr>
    </w:p>
    <w:p w14:paraId="1A668665" w14:textId="77777777" w:rsidR="00BA61F3" w:rsidRDefault="00BA61F3" w:rsidP="00BA61F3">
      <w:pPr>
        <w:spacing w:before="240" w:after="120" w:line="250" w:lineRule="exact"/>
        <w:rPr>
          <w:rFonts w:ascii="Noto Sans" w:eastAsia="Arial Unicode MS" w:hAnsi="Noto Sans" w:cs="Noto Sans"/>
          <w:b/>
        </w:rPr>
      </w:pPr>
    </w:p>
    <w:p w14:paraId="7A67228B" w14:textId="77777777" w:rsidR="00BA61F3" w:rsidRDefault="00BA61F3" w:rsidP="00BA61F3">
      <w:pPr>
        <w:spacing w:before="240" w:after="120" w:line="250" w:lineRule="exact"/>
        <w:rPr>
          <w:rFonts w:ascii="Noto Sans" w:eastAsia="Arial Unicode MS" w:hAnsi="Noto Sans" w:cs="Noto Sans"/>
          <w:b/>
        </w:rPr>
      </w:pPr>
    </w:p>
    <w:p w14:paraId="152926F4" w14:textId="77777777" w:rsidR="00BA61F3" w:rsidRDefault="00BA61F3" w:rsidP="00BA61F3">
      <w:pPr>
        <w:spacing w:before="240" w:after="120" w:line="250" w:lineRule="exact"/>
        <w:rPr>
          <w:rFonts w:ascii="Noto Sans" w:eastAsia="Arial Unicode MS" w:hAnsi="Noto Sans" w:cs="Noto Sans"/>
          <w:b/>
        </w:rPr>
      </w:pPr>
    </w:p>
    <w:p w14:paraId="2451FBBC" w14:textId="77777777" w:rsidR="00BA61F3" w:rsidRDefault="00BA61F3" w:rsidP="00BA61F3">
      <w:pPr>
        <w:spacing w:before="240" w:after="120" w:line="250" w:lineRule="exact"/>
        <w:rPr>
          <w:rFonts w:ascii="Noto Sans" w:eastAsia="Arial Unicode MS" w:hAnsi="Noto Sans" w:cs="Noto Sans"/>
          <w:b/>
        </w:rPr>
      </w:pPr>
    </w:p>
    <w:p w14:paraId="5F48345C" w14:textId="77777777" w:rsidR="00BA61F3" w:rsidRDefault="00BA61F3" w:rsidP="00BA61F3">
      <w:pPr>
        <w:spacing w:before="240" w:after="120" w:line="250" w:lineRule="exact"/>
        <w:rPr>
          <w:rFonts w:ascii="Noto Sans" w:eastAsia="Arial Unicode MS" w:hAnsi="Noto Sans" w:cs="Noto Sans"/>
          <w:b/>
        </w:rPr>
      </w:pPr>
    </w:p>
    <w:p w14:paraId="54B1487D" w14:textId="77777777" w:rsidR="00BA61F3" w:rsidRDefault="00BA61F3" w:rsidP="00BA61F3">
      <w:pPr>
        <w:spacing w:before="240" w:after="120" w:line="250" w:lineRule="exact"/>
        <w:rPr>
          <w:rFonts w:ascii="Noto Sans" w:eastAsia="Arial Unicode MS" w:hAnsi="Noto Sans" w:cs="Noto Sans"/>
          <w:b/>
        </w:rPr>
      </w:pPr>
    </w:p>
    <w:p w14:paraId="712DFFD9" w14:textId="5FC5B628" w:rsidR="00F43D47" w:rsidRPr="00BA61F3" w:rsidRDefault="00F43D47" w:rsidP="00BA61F3">
      <w:pPr>
        <w:pStyle w:val="Prrafodelista"/>
        <w:numPr>
          <w:ilvl w:val="0"/>
          <w:numId w:val="21"/>
        </w:numPr>
        <w:spacing w:before="240" w:after="120" w:line="250" w:lineRule="exact"/>
        <w:rPr>
          <w:rFonts w:ascii="Noto Sans" w:eastAsia="Arial Unicode MS" w:hAnsi="Noto Sans" w:cs="Noto Sans"/>
          <w:sz w:val="18"/>
          <w:szCs w:val="18"/>
        </w:rPr>
      </w:pPr>
      <w:r w:rsidRPr="00BA61F3">
        <w:rPr>
          <w:rFonts w:ascii="Noto Sans" w:eastAsia="Arial Unicode MS" w:hAnsi="Noto Sans" w:cs="Noto Sans"/>
          <w:b/>
        </w:rPr>
        <w:lastRenderedPageBreak/>
        <w:t>CONCILIACIÓN ENTRE LOS EGRESOS</w:t>
      </w:r>
      <w:r w:rsidR="00BA61F3" w:rsidRPr="00BA61F3">
        <w:rPr>
          <w:rFonts w:ascii="Noto Sans" w:eastAsia="Arial Unicode MS" w:hAnsi="Noto Sans" w:cs="Noto Sans"/>
          <w:b/>
        </w:rPr>
        <w:t xml:space="preserve"> </w:t>
      </w:r>
      <w:r w:rsidRPr="00BA61F3">
        <w:rPr>
          <w:rFonts w:ascii="Noto Sans" w:eastAsia="Arial Unicode MS" w:hAnsi="Noto Sans" w:cs="Noto Sans"/>
          <w:b/>
        </w:rPr>
        <w:t>PRESUPUESTARIOS Y LOS GASTOS CONTABLES.</w:t>
      </w:r>
    </w:p>
    <w:p w14:paraId="7CAD0EFE" w14:textId="77777777" w:rsidR="00F75647" w:rsidRPr="00F76FBB" w:rsidRDefault="00F75647" w:rsidP="00660031">
      <w:pPr>
        <w:spacing w:before="240" w:after="120" w:line="250" w:lineRule="exact"/>
        <w:rPr>
          <w:rFonts w:ascii="Noto Sans" w:eastAsia="Arial Unicode MS" w:hAnsi="Noto Sans" w:cs="Noto Sans"/>
          <w:sz w:val="12"/>
          <w:szCs w:val="18"/>
        </w:rPr>
      </w:pPr>
    </w:p>
    <w:tbl>
      <w:tblPr>
        <w:tblW w:w="0" w:type="auto"/>
        <w:jc w:val="center"/>
        <w:tblCellMar>
          <w:left w:w="70" w:type="dxa"/>
          <w:right w:w="70" w:type="dxa"/>
        </w:tblCellMar>
        <w:tblLook w:val="0480" w:firstRow="0" w:lastRow="0" w:firstColumn="1" w:lastColumn="0" w:noHBand="0" w:noVBand="1"/>
      </w:tblPr>
      <w:tblGrid>
        <w:gridCol w:w="6621"/>
        <w:gridCol w:w="1943"/>
      </w:tblGrid>
      <w:tr w:rsidR="00F76FBB" w:rsidRPr="005946C5" w14:paraId="294D9323" w14:textId="77777777" w:rsidTr="00DE0D05">
        <w:trPr>
          <w:trHeight w:val="288"/>
          <w:jc w:val="center"/>
        </w:trPr>
        <w:tc>
          <w:tcPr>
            <w:tcW w:w="8564" w:type="dxa"/>
            <w:gridSpan w:val="2"/>
            <w:tcBorders>
              <w:top w:val="double" w:sz="12" w:space="0" w:color="A6802D"/>
              <w:left w:val="nil"/>
            </w:tcBorders>
            <w:shd w:val="clear" w:color="auto" w:fill="A6802D"/>
            <w:vAlign w:val="center"/>
          </w:tcPr>
          <w:p w14:paraId="1625201C" w14:textId="6DF4ADCA" w:rsidR="00F76FBB" w:rsidRPr="008E629A" w:rsidRDefault="000B5821" w:rsidP="00C603D0">
            <w:pPr>
              <w:spacing w:after="0" w:line="240" w:lineRule="exact"/>
              <w:jc w:val="center"/>
              <w:rPr>
                <w:rFonts w:ascii="Noto Sans" w:eastAsia="Times New Roman" w:hAnsi="Noto Sans" w:cs="Noto Sans"/>
                <w:b/>
                <w:bCs/>
                <w:color w:val="FFFFFF"/>
                <w:sz w:val="16"/>
                <w:szCs w:val="16"/>
                <w:lang w:eastAsia="es-MX"/>
              </w:rPr>
            </w:pPr>
            <w:r>
              <w:rPr>
                <w:rFonts w:ascii="Montserrat" w:eastAsia="Times New Roman" w:hAnsi="Montserrat"/>
                <w:b/>
                <w:bCs/>
                <w:color w:val="FFFFFF"/>
                <w:sz w:val="16"/>
                <w:szCs w:val="16"/>
                <w:lang w:eastAsia="es-MX"/>
              </w:rPr>
              <w:t>Junio 2025</w:t>
            </w:r>
          </w:p>
        </w:tc>
      </w:tr>
      <w:tr w:rsidR="00F76FBB" w:rsidRPr="005946C5" w14:paraId="6D01A2EB" w14:textId="77777777" w:rsidTr="00DE0D05">
        <w:trPr>
          <w:trHeight w:val="288"/>
          <w:jc w:val="center"/>
        </w:trPr>
        <w:tc>
          <w:tcPr>
            <w:tcW w:w="6621" w:type="dxa"/>
            <w:tcBorders>
              <w:top w:val="single" w:sz="12" w:space="0" w:color="FFFFFF" w:themeColor="background1"/>
              <w:left w:val="nil"/>
              <w:bottom w:val="triple" w:sz="12" w:space="0" w:color="A6802D"/>
              <w:right w:val="single" w:sz="12" w:space="0" w:color="FFFFFF"/>
            </w:tcBorders>
            <w:shd w:val="clear" w:color="auto" w:fill="A6802D"/>
            <w:vAlign w:val="center"/>
            <w:hideMark/>
          </w:tcPr>
          <w:p w14:paraId="7694EC56" w14:textId="77777777" w:rsidR="00F76FBB" w:rsidRPr="008E629A" w:rsidRDefault="00F76FBB"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942" w:type="dxa"/>
            <w:tcBorders>
              <w:top w:val="single" w:sz="12" w:space="0" w:color="FFFFFF" w:themeColor="background1"/>
              <w:left w:val="nil"/>
              <w:bottom w:val="triple" w:sz="12" w:space="0" w:color="A6802D"/>
            </w:tcBorders>
            <w:shd w:val="clear" w:color="auto" w:fill="A6802D"/>
            <w:vAlign w:val="center"/>
          </w:tcPr>
          <w:p w14:paraId="4A3BA3A4" w14:textId="77777777" w:rsidR="00F76FBB" w:rsidRPr="008E629A" w:rsidRDefault="00F76FBB" w:rsidP="00655E4E">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Cifras en pesos</w:t>
            </w:r>
          </w:p>
        </w:tc>
      </w:tr>
      <w:tr w:rsidR="00F76FBB" w:rsidRPr="005946C5" w14:paraId="05E98574" w14:textId="77777777" w:rsidTr="00DE0D05">
        <w:trPr>
          <w:trHeight w:val="252"/>
          <w:jc w:val="center"/>
        </w:trPr>
        <w:tc>
          <w:tcPr>
            <w:tcW w:w="6621" w:type="dxa"/>
            <w:tcBorders>
              <w:top w:val="triple" w:sz="12" w:space="0" w:color="A6802D"/>
              <w:left w:val="nil"/>
              <w:bottom w:val="nil"/>
              <w:right w:val="nil"/>
            </w:tcBorders>
            <w:shd w:val="clear" w:color="000000" w:fill="F2F2F2"/>
            <w:vAlign w:val="center"/>
          </w:tcPr>
          <w:p w14:paraId="72D3F120" w14:textId="77777777" w:rsidR="00F76FBB" w:rsidRPr="00F76FBB" w:rsidRDefault="00F76FBB">
            <w:pPr>
              <w:spacing w:after="0" w:line="240" w:lineRule="auto"/>
              <w:rPr>
                <w:rFonts w:ascii="Noto Sans" w:eastAsia="Times New Roman" w:hAnsi="Noto Sans" w:cs="Noto Sans"/>
                <w:b/>
                <w:bCs/>
                <w:color w:val="000000"/>
                <w:sz w:val="15"/>
                <w:szCs w:val="15"/>
                <w:lang w:val="es-ES" w:eastAsia="es-MX"/>
              </w:rPr>
            </w:pPr>
            <w:r w:rsidRPr="00F76FBB">
              <w:rPr>
                <w:rFonts w:ascii="Noto Sans" w:eastAsia="Times New Roman" w:hAnsi="Noto Sans" w:cs="Noto Sans"/>
                <w:b/>
                <w:bCs/>
                <w:color w:val="000000"/>
                <w:sz w:val="15"/>
                <w:szCs w:val="15"/>
                <w:lang w:eastAsia="es-MX"/>
              </w:rPr>
              <w:t>1. Total de Egresos Presupuestarios</w:t>
            </w:r>
          </w:p>
        </w:tc>
        <w:tc>
          <w:tcPr>
            <w:tcW w:w="1942" w:type="dxa"/>
            <w:tcBorders>
              <w:top w:val="triple" w:sz="12" w:space="0" w:color="A6802D"/>
              <w:left w:val="nil"/>
              <w:bottom w:val="nil"/>
              <w:right w:val="nil"/>
            </w:tcBorders>
            <w:shd w:val="clear" w:color="000000" w:fill="F2F2F2"/>
            <w:vAlign w:val="center"/>
          </w:tcPr>
          <w:p w14:paraId="47D65E39" w14:textId="6E5A8484" w:rsidR="00F76FBB" w:rsidRPr="00F76FBB" w:rsidRDefault="00593514">
            <w:pPr>
              <w:spacing w:after="0" w:line="240" w:lineRule="auto"/>
              <w:jc w:val="right"/>
              <w:rPr>
                <w:rFonts w:ascii="Noto Sans" w:eastAsia="Times New Roman" w:hAnsi="Noto Sans" w:cs="Noto Sans"/>
                <w:b/>
                <w:bCs/>
                <w:color w:val="000000"/>
                <w:sz w:val="15"/>
                <w:szCs w:val="15"/>
                <w:lang w:val="es-ES" w:eastAsia="es-MX"/>
              </w:rPr>
            </w:pPr>
            <w:r>
              <w:rPr>
                <w:rFonts w:ascii="Noto Sans" w:eastAsia="Times New Roman" w:hAnsi="Noto Sans" w:cs="Noto Sans"/>
                <w:b/>
                <w:bCs/>
                <w:color w:val="000000"/>
                <w:sz w:val="15"/>
                <w:szCs w:val="15"/>
                <w:lang w:val="es-ES" w:eastAsia="es-MX"/>
              </w:rPr>
              <w:t>692,346,504,01</w:t>
            </w:r>
            <w:r w:rsidR="009957ED">
              <w:rPr>
                <w:rFonts w:ascii="Noto Sans" w:eastAsia="Times New Roman" w:hAnsi="Noto Sans" w:cs="Noto Sans"/>
                <w:b/>
                <w:bCs/>
                <w:color w:val="000000"/>
                <w:sz w:val="15"/>
                <w:szCs w:val="15"/>
                <w:lang w:val="es-ES" w:eastAsia="es-MX"/>
              </w:rPr>
              <w:t>4</w:t>
            </w:r>
            <w:r w:rsidR="004624BB">
              <w:rPr>
                <w:rFonts w:ascii="Noto Sans" w:eastAsia="Times New Roman" w:hAnsi="Noto Sans" w:cs="Noto Sans"/>
                <w:b/>
                <w:bCs/>
                <w:color w:val="000000"/>
                <w:sz w:val="15"/>
                <w:szCs w:val="15"/>
                <w:lang w:val="es-ES" w:eastAsia="es-MX"/>
              </w:rPr>
              <w:t>.</w:t>
            </w:r>
            <w:r w:rsidR="009957ED">
              <w:rPr>
                <w:rFonts w:ascii="Noto Sans" w:eastAsia="Times New Roman" w:hAnsi="Noto Sans" w:cs="Noto Sans"/>
                <w:b/>
                <w:bCs/>
                <w:color w:val="000000"/>
                <w:sz w:val="15"/>
                <w:szCs w:val="15"/>
                <w:lang w:val="es-ES" w:eastAsia="es-MX"/>
              </w:rPr>
              <w:t>7</w:t>
            </w:r>
          </w:p>
        </w:tc>
      </w:tr>
      <w:tr w:rsidR="00F76FBB" w:rsidRPr="00FC0913" w14:paraId="4919028C" w14:textId="77777777" w:rsidTr="00DE0D05">
        <w:trPr>
          <w:trHeight w:val="252"/>
          <w:jc w:val="center"/>
        </w:trPr>
        <w:tc>
          <w:tcPr>
            <w:tcW w:w="6621" w:type="dxa"/>
            <w:tcBorders>
              <w:top w:val="nil"/>
              <w:left w:val="nil"/>
              <w:bottom w:val="nil"/>
              <w:right w:val="nil"/>
            </w:tcBorders>
            <w:shd w:val="clear" w:color="000000" w:fill="F2F2F2"/>
            <w:vAlign w:val="center"/>
          </w:tcPr>
          <w:p w14:paraId="0768785F" w14:textId="77777777" w:rsidR="00F76FBB" w:rsidRDefault="00F76FBB">
            <w:pPr>
              <w:spacing w:after="0" w:line="240" w:lineRule="auto"/>
              <w:rPr>
                <w:rFonts w:ascii="Noto Sans" w:eastAsia="Times New Roman" w:hAnsi="Noto Sans" w:cs="Noto Sans"/>
                <w:b/>
                <w:bCs/>
                <w:color w:val="000000"/>
                <w:sz w:val="15"/>
                <w:szCs w:val="15"/>
                <w:lang w:eastAsia="es-MX"/>
              </w:rPr>
            </w:pPr>
            <w:r w:rsidRPr="00F76FBB">
              <w:rPr>
                <w:rFonts w:ascii="Noto Sans" w:eastAsia="Times New Roman" w:hAnsi="Noto Sans" w:cs="Noto Sans"/>
                <w:b/>
                <w:bCs/>
                <w:color w:val="000000"/>
                <w:sz w:val="15"/>
                <w:szCs w:val="15"/>
                <w:lang w:eastAsia="es-MX"/>
              </w:rPr>
              <w:t>2. Menos Egresos Presupuestarios No Contables</w:t>
            </w:r>
          </w:p>
          <w:p w14:paraId="4D0F6F29" w14:textId="77777777" w:rsidR="00BA61F3" w:rsidRDefault="00BA61F3">
            <w:pPr>
              <w:spacing w:after="0" w:line="240" w:lineRule="auto"/>
              <w:rPr>
                <w:rFonts w:ascii="Noto Sans" w:eastAsia="Times New Roman" w:hAnsi="Noto Sans" w:cs="Noto Sans"/>
                <w:color w:val="000000"/>
                <w:sz w:val="15"/>
                <w:szCs w:val="15"/>
                <w:lang w:val="es-ES" w:eastAsia="es-MX"/>
              </w:rPr>
            </w:pPr>
            <w:r w:rsidRPr="007A1A3A">
              <w:rPr>
                <w:rFonts w:ascii="Noto Sans" w:eastAsia="Times New Roman" w:hAnsi="Noto Sans" w:cs="Noto Sans"/>
                <w:color w:val="000000"/>
                <w:sz w:val="15"/>
                <w:szCs w:val="15"/>
                <w:lang w:val="es-ES" w:eastAsia="es-MX"/>
              </w:rPr>
              <w:t xml:space="preserve">        </w:t>
            </w:r>
            <w:r w:rsidR="007A1A3A" w:rsidRPr="007A1A3A">
              <w:rPr>
                <w:rFonts w:ascii="Noto Sans" w:eastAsia="Times New Roman" w:hAnsi="Noto Sans" w:cs="Noto Sans"/>
                <w:color w:val="000000"/>
                <w:sz w:val="15"/>
                <w:szCs w:val="15"/>
                <w:lang w:val="es-ES" w:eastAsia="es-MX"/>
              </w:rPr>
              <w:t>Materias Primas y Materiales de Producción y Comercialización</w:t>
            </w:r>
          </w:p>
          <w:p w14:paraId="42E8D004" w14:textId="77777777" w:rsidR="007A1A3A" w:rsidRDefault="007A1A3A">
            <w:pPr>
              <w:spacing w:after="0" w:line="240" w:lineRule="auto"/>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 xml:space="preserve">        Materiales y Suministros</w:t>
            </w:r>
          </w:p>
          <w:p w14:paraId="6AB17753" w14:textId="5A03ED4C" w:rsidR="007A1A3A" w:rsidRPr="007A1A3A" w:rsidRDefault="007A1A3A">
            <w:pPr>
              <w:spacing w:after="0" w:line="240" w:lineRule="auto"/>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 xml:space="preserve">        Mobiliario y Equipo de Administración  </w:t>
            </w:r>
          </w:p>
        </w:tc>
        <w:tc>
          <w:tcPr>
            <w:tcW w:w="1942" w:type="dxa"/>
            <w:tcBorders>
              <w:top w:val="nil"/>
              <w:left w:val="nil"/>
              <w:bottom w:val="nil"/>
              <w:right w:val="nil"/>
            </w:tcBorders>
            <w:shd w:val="clear" w:color="000000" w:fill="F2F2F2"/>
            <w:vAlign w:val="center"/>
          </w:tcPr>
          <w:p w14:paraId="49E9EBE4" w14:textId="4DDE9540" w:rsidR="00F76FBB" w:rsidRDefault="00593514">
            <w:pPr>
              <w:spacing w:after="0" w:line="240" w:lineRule="auto"/>
              <w:jc w:val="right"/>
              <w:rPr>
                <w:rFonts w:ascii="Noto Sans" w:eastAsia="Times New Roman" w:hAnsi="Noto Sans" w:cs="Noto Sans"/>
                <w:b/>
                <w:bCs/>
                <w:color w:val="000000"/>
                <w:sz w:val="15"/>
                <w:szCs w:val="15"/>
                <w:lang w:val="es-ES" w:eastAsia="es-MX"/>
              </w:rPr>
            </w:pPr>
            <w:r>
              <w:rPr>
                <w:rFonts w:ascii="Noto Sans" w:eastAsia="Times New Roman" w:hAnsi="Noto Sans" w:cs="Noto Sans"/>
                <w:b/>
                <w:bCs/>
                <w:color w:val="000000"/>
                <w:sz w:val="15"/>
                <w:szCs w:val="15"/>
                <w:lang w:val="es-ES" w:eastAsia="es-MX"/>
              </w:rPr>
              <w:t>34</w:t>
            </w:r>
            <w:r w:rsidR="00BA61F3">
              <w:rPr>
                <w:rFonts w:ascii="Noto Sans" w:eastAsia="Times New Roman" w:hAnsi="Noto Sans" w:cs="Noto Sans"/>
                <w:b/>
                <w:bCs/>
                <w:color w:val="000000"/>
                <w:sz w:val="15"/>
                <w:szCs w:val="15"/>
                <w:lang w:val="es-ES" w:eastAsia="es-MX"/>
              </w:rPr>
              <w:t xml:space="preserve"> </w:t>
            </w:r>
            <w:r>
              <w:rPr>
                <w:rFonts w:ascii="Noto Sans" w:eastAsia="Times New Roman" w:hAnsi="Noto Sans" w:cs="Noto Sans"/>
                <w:b/>
                <w:bCs/>
                <w:color w:val="000000"/>
                <w:sz w:val="15"/>
                <w:szCs w:val="15"/>
                <w:lang w:val="es-ES" w:eastAsia="es-MX"/>
              </w:rPr>
              <w:t>1,140,357,069</w:t>
            </w:r>
            <w:r w:rsidR="004624BB">
              <w:rPr>
                <w:rFonts w:ascii="Noto Sans" w:eastAsia="Times New Roman" w:hAnsi="Noto Sans" w:cs="Noto Sans"/>
                <w:b/>
                <w:bCs/>
                <w:color w:val="000000"/>
                <w:sz w:val="15"/>
                <w:szCs w:val="15"/>
                <w:lang w:val="es-ES" w:eastAsia="es-MX"/>
              </w:rPr>
              <w:t>.</w:t>
            </w:r>
            <w:r w:rsidR="009957ED">
              <w:rPr>
                <w:rFonts w:ascii="Noto Sans" w:eastAsia="Times New Roman" w:hAnsi="Noto Sans" w:cs="Noto Sans"/>
                <w:b/>
                <w:bCs/>
                <w:color w:val="000000"/>
                <w:sz w:val="15"/>
                <w:szCs w:val="15"/>
                <w:lang w:val="es-ES" w:eastAsia="es-MX"/>
              </w:rPr>
              <w:t>3</w:t>
            </w:r>
          </w:p>
          <w:p w14:paraId="4291F1A2" w14:textId="77777777" w:rsidR="00BA61F3" w:rsidRDefault="007A1A3A">
            <w:pPr>
              <w:spacing w:after="0" w:line="240" w:lineRule="auto"/>
              <w:jc w:val="right"/>
              <w:rPr>
                <w:rFonts w:ascii="Noto Sans" w:eastAsia="Times New Roman" w:hAnsi="Noto Sans" w:cs="Noto Sans"/>
                <w:color w:val="000000"/>
                <w:sz w:val="15"/>
                <w:szCs w:val="15"/>
                <w:lang w:val="es-ES" w:eastAsia="es-MX"/>
              </w:rPr>
            </w:pPr>
            <w:r w:rsidRPr="007A1A3A">
              <w:rPr>
                <w:rFonts w:ascii="Noto Sans" w:eastAsia="Times New Roman" w:hAnsi="Noto Sans" w:cs="Noto Sans"/>
                <w:color w:val="000000"/>
                <w:sz w:val="15"/>
                <w:szCs w:val="15"/>
                <w:lang w:val="es-ES" w:eastAsia="es-MX"/>
              </w:rPr>
              <w:t>0.0</w:t>
            </w:r>
          </w:p>
          <w:p w14:paraId="47D985D1"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353B903B" w14:textId="63B352DA" w:rsidR="007A1A3A" w:rsidRPr="007A1A3A" w:rsidRDefault="007A1A3A" w:rsidP="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FC0913" w14:paraId="596C456A" w14:textId="77777777" w:rsidTr="00DE0D05">
        <w:trPr>
          <w:trHeight w:val="252"/>
          <w:jc w:val="center"/>
        </w:trPr>
        <w:tc>
          <w:tcPr>
            <w:tcW w:w="6621" w:type="dxa"/>
            <w:tcBorders>
              <w:top w:val="nil"/>
              <w:left w:val="nil"/>
              <w:bottom w:val="nil"/>
              <w:right w:val="nil"/>
            </w:tcBorders>
            <w:shd w:val="clear" w:color="000000" w:fill="F2F2F2"/>
            <w:vAlign w:val="center"/>
          </w:tcPr>
          <w:p w14:paraId="5F8389E7" w14:textId="734DDF3E" w:rsidR="00F76FBB" w:rsidRPr="00F76FBB" w:rsidRDefault="00F76FBB">
            <w:pPr>
              <w:spacing w:after="0" w:line="240" w:lineRule="auto"/>
              <w:ind w:firstLineChars="200" w:firstLine="300"/>
              <w:rPr>
                <w:rFonts w:ascii="Noto Sans" w:eastAsia="Times New Roman" w:hAnsi="Noto Sans" w:cs="Noto Sans"/>
                <w:color w:val="000000"/>
                <w:sz w:val="15"/>
                <w:szCs w:val="15"/>
                <w:lang w:val="es-ES" w:eastAsia="es-MX"/>
              </w:rPr>
            </w:pPr>
            <w:r w:rsidRPr="00F76FBB">
              <w:rPr>
                <w:rFonts w:ascii="Noto Sans" w:eastAsia="Times New Roman" w:hAnsi="Noto Sans" w:cs="Noto Sans"/>
                <w:color w:val="000000"/>
                <w:sz w:val="15"/>
                <w:szCs w:val="15"/>
                <w:lang w:eastAsia="es-MX"/>
              </w:rPr>
              <w:t xml:space="preserve">Mobiliario y Equipo </w:t>
            </w:r>
            <w:r w:rsidR="007A1A3A">
              <w:rPr>
                <w:rFonts w:ascii="Noto Sans" w:eastAsia="Times New Roman" w:hAnsi="Noto Sans" w:cs="Noto Sans"/>
                <w:color w:val="000000"/>
                <w:sz w:val="15"/>
                <w:szCs w:val="15"/>
                <w:lang w:eastAsia="es-MX"/>
              </w:rPr>
              <w:t>Educacional y Recreativo</w:t>
            </w:r>
          </w:p>
        </w:tc>
        <w:tc>
          <w:tcPr>
            <w:tcW w:w="1942" w:type="dxa"/>
            <w:tcBorders>
              <w:top w:val="nil"/>
              <w:left w:val="nil"/>
              <w:bottom w:val="nil"/>
              <w:right w:val="nil"/>
            </w:tcBorders>
            <w:shd w:val="clear" w:color="000000" w:fill="F2F2F2"/>
            <w:vAlign w:val="center"/>
          </w:tcPr>
          <w:p w14:paraId="544E42FA" w14:textId="2818478F" w:rsidR="00F76FBB" w:rsidRPr="00F76FBB" w:rsidRDefault="004624BB">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w:t>
            </w:r>
            <w:r w:rsidR="00381539">
              <w:rPr>
                <w:rFonts w:ascii="Noto Sans" w:eastAsia="Times New Roman" w:hAnsi="Noto Sans" w:cs="Noto Sans"/>
                <w:color w:val="000000"/>
                <w:sz w:val="15"/>
                <w:szCs w:val="15"/>
                <w:lang w:val="es-ES" w:eastAsia="es-MX"/>
              </w:rPr>
              <w:t>0</w:t>
            </w:r>
          </w:p>
        </w:tc>
      </w:tr>
      <w:tr w:rsidR="00F76FBB" w:rsidRPr="00FC0913" w14:paraId="3E0BCAB5" w14:textId="77777777" w:rsidTr="00DE0D05">
        <w:trPr>
          <w:trHeight w:val="252"/>
          <w:jc w:val="center"/>
        </w:trPr>
        <w:tc>
          <w:tcPr>
            <w:tcW w:w="6621" w:type="dxa"/>
            <w:tcBorders>
              <w:top w:val="nil"/>
              <w:left w:val="nil"/>
              <w:bottom w:val="nil"/>
              <w:right w:val="nil"/>
            </w:tcBorders>
            <w:shd w:val="clear" w:color="000000" w:fill="F2F2F2"/>
            <w:vAlign w:val="center"/>
          </w:tcPr>
          <w:p w14:paraId="5D1E52F2" w14:textId="77777777" w:rsidR="007A1A3A" w:rsidRDefault="00F76FBB">
            <w:pPr>
              <w:spacing w:after="0" w:line="240" w:lineRule="auto"/>
              <w:ind w:firstLineChars="200" w:firstLine="300"/>
              <w:rPr>
                <w:rFonts w:ascii="Noto Sans" w:eastAsia="Times New Roman" w:hAnsi="Noto Sans" w:cs="Noto Sans"/>
                <w:color w:val="000000"/>
                <w:sz w:val="15"/>
                <w:szCs w:val="15"/>
                <w:lang w:eastAsia="es-MX"/>
              </w:rPr>
            </w:pPr>
            <w:r w:rsidRPr="00F76FBB">
              <w:rPr>
                <w:rFonts w:ascii="Noto Sans" w:eastAsia="Times New Roman" w:hAnsi="Noto Sans" w:cs="Noto Sans"/>
                <w:color w:val="000000"/>
                <w:sz w:val="15"/>
                <w:szCs w:val="15"/>
                <w:lang w:eastAsia="es-MX"/>
              </w:rPr>
              <w:t>Equipo e Instrumental Médico y de Laboratorio</w:t>
            </w:r>
          </w:p>
          <w:p w14:paraId="0C7DE910" w14:textId="77777777" w:rsidR="007A1A3A" w:rsidRDefault="007A1A3A">
            <w:pPr>
              <w:spacing w:after="0" w:line="240" w:lineRule="auto"/>
              <w:ind w:firstLineChars="200" w:firstLine="300"/>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Vehículos y Equipo de Transporte</w:t>
            </w:r>
          </w:p>
          <w:p w14:paraId="29AFD01F" w14:textId="40CFF6FC" w:rsidR="00F76FBB" w:rsidRPr="00F76FBB" w:rsidRDefault="007A1A3A">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eastAsia="es-MX"/>
              </w:rPr>
              <w:t>Equipo de Defensa y Seguridad</w:t>
            </w:r>
            <w:r w:rsidR="00BE3560">
              <w:rPr>
                <w:rFonts w:ascii="Noto Sans" w:eastAsia="Times New Roman" w:hAnsi="Noto Sans" w:cs="Noto Sans"/>
                <w:color w:val="000000"/>
                <w:sz w:val="15"/>
                <w:szCs w:val="15"/>
                <w:lang w:eastAsia="es-MX"/>
              </w:rPr>
              <w:t xml:space="preserve">                                                                                                                                                           </w:t>
            </w:r>
          </w:p>
        </w:tc>
        <w:tc>
          <w:tcPr>
            <w:tcW w:w="1942" w:type="dxa"/>
            <w:tcBorders>
              <w:top w:val="nil"/>
              <w:left w:val="nil"/>
              <w:bottom w:val="nil"/>
              <w:right w:val="nil"/>
            </w:tcBorders>
            <w:shd w:val="clear" w:color="000000" w:fill="F2F2F2"/>
            <w:vAlign w:val="center"/>
          </w:tcPr>
          <w:p w14:paraId="26B73952" w14:textId="77777777" w:rsidR="00F76FBB" w:rsidRDefault="00BE356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6,927,721</w:t>
            </w:r>
            <w:r w:rsidR="004624BB">
              <w:rPr>
                <w:rFonts w:ascii="Noto Sans" w:eastAsia="Times New Roman" w:hAnsi="Noto Sans" w:cs="Noto Sans"/>
                <w:color w:val="000000"/>
                <w:sz w:val="15"/>
                <w:szCs w:val="15"/>
                <w:lang w:val="es-ES" w:eastAsia="es-MX"/>
              </w:rPr>
              <w:t>.0</w:t>
            </w:r>
          </w:p>
          <w:p w14:paraId="25A99E7F"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58CFFC38" w14:textId="43A6116E" w:rsidR="007A1A3A" w:rsidRPr="00F76FBB"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FC0913" w14:paraId="323017F0" w14:textId="77777777" w:rsidTr="00DE0D05">
        <w:trPr>
          <w:trHeight w:val="252"/>
          <w:jc w:val="center"/>
        </w:trPr>
        <w:tc>
          <w:tcPr>
            <w:tcW w:w="6621" w:type="dxa"/>
            <w:tcBorders>
              <w:top w:val="nil"/>
              <w:left w:val="nil"/>
              <w:bottom w:val="nil"/>
              <w:right w:val="nil"/>
            </w:tcBorders>
            <w:shd w:val="clear" w:color="000000" w:fill="F2F2F2"/>
            <w:vAlign w:val="center"/>
          </w:tcPr>
          <w:p w14:paraId="079F5608" w14:textId="77777777" w:rsidR="00F76FBB" w:rsidRDefault="00F76FBB">
            <w:pPr>
              <w:spacing w:after="0" w:line="240" w:lineRule="auto"/>
              <w:ind w:firstLineChars="200" w:firstLine="300"/>
              <w:rPr>
                <w:rFonts w:ascii="Noto Sans" w:eastAsia="Times New Roman" w:hAnsi="Noto Sans" w:cs="Noto Sans"/>
                <w:color w:val="000000"/>
                <w:sz w:val="15"/>
                <w:szCs w:val="15"/>
                <w:lang w:eastAsia="es-MX"/>
              </w:rPr>
            </w:pPr>
            <w:r w:rsidRPr="00F76FBB">
              <w:rPr>
                <w:rFonts w:ascii="Noto Sans" w:eastAsia="Times New Roman" w:hAnsi="Noto Sans" w:cs="Noto Sans"/>
                <w:color w:val="000000"/>
                <w:sz w:val="15"/>
                <w:szCs w:val="15"/>
                <w:lang w:eastAsia="es-MX"/>
              </w:rPr>
              <w:t>Maquinaria, Otros Equipos y Herramientas</w:t>
            </w:r>
          </w:p>
          <w:p w14:paraId="2325D3A9" w14:textId="77777777" w:rsidR="007A1A3A" w:rsidRDefault="007A1A3A">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Activos Biológicos</w:t>
            </w:r>
          </w:p>
          <w:p w14:paraId="72788191" w14:textId="77777777" w:rsidR="007A1A3A" w:rsidRDefault="007A1A3A">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Bienes Inmuebles</w:t>
            </w:r>
          </w:p>
          <w:p w14:paraId="5F3CB54C" w14:textId="77777777" w:rsidR="007A1A3A" w:rsidRDefault="007A1A3A">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Activos Intangibles</w:t>
            </w:r>
          </w:p>
          <w:p w14:paraId="656C5DD7" w14:textId="6DA9D49B" w:rsidR="007A1A3A" w:rsidRPr="007A1A3A" w:rsidRDefault="007A1A3A" w:rsidP="007A1A3A">
            <w:pPr>
              <w:spacing w:after="0" w:line="240" w:lineRule="auto"/>
              <w:ind w:firstLineChars="200" w:firstLine="300"/>
              <w:rPr>
                <w:rFonts w:ascii="Noto Sans" w:eastAsia="Times New Roman" w:hAnsi="Noto Sans" w:cs="Noto Sans"/>
                <w:color w:val="000000"/>
                <w:sz w:val="15"/>
                <w:szCs w:val="15"/>
                <w:lang w:eastAsia="es-MX"/>
              </w:rPr>
            </w:pPr>
            <w:r w:rsidRPr="00F76FBB">
              <w:rPr>
                <w:rFonts w:ascii="Noto Sans" w:eastAsia="Times New Roman" w:hAnsi="Noto Sans" w:cs="Noto Sans"/>
                <w:color w:val="000000"/>
                <w:sz w:val="15"/>
                <w:szCs w:val="15"/>
                <w:lang w:eastAsia="es-MX"/>
              </w:rPr>
              <w:t xml:space="preserve">Obra Pública en Bienes </w:t>
            </w:r>
            <w:r>
              <w:rPr>
                <w:rFonts w:ascii="Noto Sans" w:eastAsia="Times New Roman" w:hAnsi="Noto Sans" w:cs="Noto Sans"/>
                <w:color w:val="000000"/>
                <w:sz w:val="15"/>
                <w:szCs w:val="15"/>
                <w:lang w:eastAsia="es-MX"/>
              </w:rPr>
              <w:t>de Dominio Público</w:t>
            </w:r>
          </w:p>
        </w:tc>
        <w:tc>
          <w:tcPr>
            <w:tcW w:w="1942" w:type="dxa"/>
            <w:tcBorders>
              <w:top w:val="nil"/>
              <w:left w:val="nil"/>
              <w:bottom w:val="nil"/>
              <w:right w:val="nil"/>
            </w:tcBorders>
            <w:shd w:val="clear" w:color="000000" w:fill="F2F2F2"/>
            <w:vAlign w:val="center"/>
          </w:tcPr>
          <w:p w14:paraId="34DAD5BC" w14:textId="77777777" w:rsidR="00F76FBB" w:rsidRDefault="004624BB">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w:t>
            </w:r>
            <w:r w:rsidR="00381539">
              <w:rPr>
                <w:rFonts w:ascii="Noto Sans" w:eastAsia="Times New Roman" w:hAnsi="Noto Sans" w:cs="Noto Sans"/>
                <w:color w:val="000000"/>
                <w:sz w:val="15"/>
                <w:szCs w:val="15"/>
                <w:lang w:val="es-ES" w:eastAsia="es-MX"/>
              </w:rPr>
              <w:t>0</w:t>
            </w:r>
          </w:p>
          <w:p w14:paraId="06DCC08F"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191815F4"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3383FF11"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0958E404" w14:textId="2CACCC12" w:rsidR="007A1A3A" w:rsidRPr="00F76FBB"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FC0913" w14:paraId="2B3C37FE" w14:textId="77777777" w:rsidTr="00DE0D05">
        <w:trPr>
          <w:trHeight w:val="252"/>
          <w:jc w:val="center"/>
        </w:trPr>
        <w:tc>
          <w:tcPr>
            <w:tcW w:w="6621" w:type="dxa"/>
            <w:tcBorders>
              <w:top w:val="nil"/>
              <w:left w:val="nil"/>
              <w:bottom w:val="nil"/>
              <w:right w:val="nil"/>
            </w:tcBorders>
            <w:shd w:val="clear" w:color="000000" w:fill="F2F2F2"/>
            <w:vAlign w:val="center"/>
          </w:tcPr>
          <w:p w14:paraId="157F9323" w14:textId="77777777" w:rsidR="007A1A3A" w:rsidRDefault="00F76FBB">
            <w:pPr>
              <w:spacing w:after="0" w:line="240" w:lineRule="auto"/>
              <w:ind w:firstLineChars="200" w:firstLine="300"/>
              <w:rPr>
                <w:rFonts w:ascii="Noto Sans" w:eastAsia="Times New Roman" w:hAnsi="Noto Sans" w:cs="Noto Sans"/>
                <w:color w:val="000000"/>
                <w:sz w:val="15"/>
                <w:szCs w:val="15"/>
                <w:lang w:eastAsia="es-MX"/>
              </w:rPr>
            </w:pPr>
            <w:r w:rsidRPr="00F76FBB">
              <w:rPr>
                <w:rFonts w:ascii="Noto Sans" w:eastAsia="Times New Roman" w:hAnsi="Noto Sans" w:cs="Noto Sans"/>
                <w:color w:val="000000"/>
                <w:sz w:val="15"/>
                <w:szCs w:val="15"/>
                <w:lang w:eastAsia="es-MX"/>
              </w:rPr>
              <w:t>Obra Pública en Bienes Propios</w:t>
            </w:r>
          </w:p>
          <w:p w14:paraId="650C6D47" w14:textId="77777777" w:rsidR="00F76FBB" w:rsidRDefault="007A1A3A">
            <w:pPr>
              <w:spacing w:after="0" w:line="240" w:lineRule="auto"/>
              <w:ind w:firstLineChars="200" w:firstLine="300"/>
              <w:rPr>
                <w:rFonts w:ascii="Noto Sans" w:eastAsia="Times New Roman" w:hAnsi="Noto Sans" w:cs="Noto Sans"/>
                <w:color w:val="000000"/>
                <w:sz w:val="15"/>
                <w:szCs w:val="15"/>
                <w:lang w:eastAsia="es-MX"/>
              </w:rPr>
            </w:pPr>
            <w:r>
              <w:rPr>
                <w:rFonts w:ascii="Noto Sans" w:eastAsia="Times New Roman" w:hAnsi="Noto Sans" w:cs="Noto Sans"/>
                <w:color w:val="000000"/>
                <w:sz w:val="15"/>
                <w:szCs w:val="15"/>
                <w:lang w:eastAsia="es-MX"/>
              </w:rPr>
              <w:t>Acciones y Participaciones de Capital</w:t>
            </w:r>
          </w:p>
          <w:p w14:paraId="7220B045" w14:textId="77777777" w:rsidR="007A1A3A" w:rsidRDefault="007A1A3A">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Compra de Títulos y Valores</w:t>
            </w:r>
          </w:p>
          <w:p w14:paraId="69243BED" w14:textId="77777777" w:rsidR="007A1A3A" w:rsidRDefault="007A1A3A">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Concesión de Préstamos</w:t>
            </w:r>
          </w:p>
          <w:p w14:paraId="5AF2D1FD" w14:textId="77777777" w:rsidR="00DE0D05" w:rsidRDefault="00DE0D05">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Inversiones en Fideicomisos, Mandatos y Otros Análogos</w:t>
            </w:r>
          </w:p>
          <w:p w14:paraId="27476A9C" w14:textId="77777777" w:rsidR="00DE0D05" w:rsidRDefault="00DE0D05">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Provisiones para Contingencias y Otras Erogaciones Especiales</w:t>
            </w:r>
          </w:p>
          <w:p w14:paraId="3D8D2BB9" w14:textId="77777777" w:rsidR="00DE0D05" w:rsidRDefault="00DE0D05">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Amortización de la Deuda Pública</w:t>
            </w:r>
          </w:p>
          <w:p w14:paraId="7A132BA6" w14:textId="77FEA789" w:rsidR="00DE0D05" w:rsidRPr="007A1A3A" w:rsidRDefault="00DE0D05">
            <w:pPr>
              <w:spacing w:after="0" w:line="240" w:lineRule="auto"/>
              <w:ind w:firstLineChars="200" w:firstLine="300"/>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Adeudos de Ejercicios Fiscales Anteriores (ADEFAS)</w:t>
            </w:r>
          </w:p>
        </w:tc>
        <w:tc>
          <w:tcPr>
            <w:tcW w:w="1942" w:type="dxa"/>
            <w:tcBorders>
              <w:top w:val="nil"/>
              <w:left w:val="nil"/>
              <w:bottom w:val="nil"/>
              <w:right w:val="nil"/>
            </w:tcBorders>
            <w:shd w:val="clear" w:color="000000" w:fill="F2F2F2"/>
            <w:vAlign w:val="center"/>
          </w:tcPr>
          <w:p w14:paraId="175BB3BA" w14:textId="77777777" w:rsidR="00F76FBB" w:rsidRDefault="00BE3560">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2,701,740,869</w:t>
            </w:r>
            <w:r w:rsidR="004624BB">
              <w:rPr>
                <w:rFonts w:ascii="Noto Sans" w:eastAsia="Times New Roman" w:hAnsi="Noto Sans" w:cs="Noto Sans"/>
                <w:color w:val="000000"/>
                <w:sz w:val="15"/>
                <w:szCs w:val="15"/>
                <w:lang w:val="es-ES" w:eastAsia="es-MX"/>
              </w:rPr>
              <w:t>.0</w:t>
            </w:r>
          </w:p>
          <w:p w14:paraId="20351E56"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2A7FC3F2"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7BF65735"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24344842" w14:textId="77777777" w:rsidR="007A1A3A" w:rsidRDefault="007A1A3A">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7CC13033" w14:textId="77777777" w:rsidR="00DE0D05" w:rsidRDefault="00DE0D05">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1FB26DDA" w14:textId="77777777" w:rsidR="00DE0D05" w:rsidRDefault="00DE0D05">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4C7E7ADC" w14:textId="4C638CC8" w:rsidR="00DE0D05" w:rsidRPr="00F76FBB" w:rsidRDefault="00DE0D05">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FC0913" w14:paraId="427FDD28" w14:textId="77777777" w:rsidTr="00DE0D05">
        <w:trPr>
          <w:trHeight w:val="252"/>
          <w:jc w:val="center"/>
        </w:trPr>
        <w:tc>
          <w:tcPr>
            <w:tcW w:w="6621" w:type="dxa"/>
            <w:tcBorders>
              <w:top w:val="nil"/>
              <w:left w:val="nil"/>
              <w:bottom w:val="nil"/>
              <w:right w:val="nil"/>
            </w:tcBorders>
            <w:shd w:val="clear" w:color="000000" w:fill="F2F2F2"/>
            <w:vAlign w:val="center"/>
          </w:tcPr>
          <w:p w14:paraId="403CDE98" w14:textId="77777777" w:rsidR="00F76FBB" w:rsidRPr="00F76FBB" w:rsidRDefault="00F76FBB">
            <w:pPr>
              <w:spacing w:after="0" w:line="240" w:lineRule="auto"/>
              <w:ind w:firstLineChars="200" w:firstLine="300"/>
              <w:rPr>
                <w:rFonts w:ascii="Noto Sans" w:eastAsia="Times New Roman" w:hAnsi="Noto Sans" w:cs="Noto Sans"/>
                <w:color w:val="000000"/>
                <w:sz w:val="15"/>
                <w:szCs w:val="15"/>
                <w:lang w:val="es-ES" w:eastAsia="es-MX"/>
              </w:rPr>
            </w:pPr>
            <w:r w:rsidRPr="00F76FBB">
              <w:rPr>
                <w:rFonts w:ascii="Noto Sans" w:eastAsia="Times New Roman" w:hAnsi="Noto Sans" w:cs="Noto Sans"/>
                <w:color w:val="000000"/>
                <w:sz w:val="15"/>
                <w:szCs w:val="15"/>
                <w:lang w:eastAsia="es-MX"/>
              </w:rPr>
              <w:t xml:space="preserve">Otros Egresos Presupuestarios No Contables </w:t>
            </w:r>
          </w:p>
        </w:tc>
        <w:tc>
          <w:tcPr>
            <w:tcW w:w="1942" w:type="dxa"/>
            <w:tcBorders>
              <w:top w:val="nil"/>
              <w:left w:val="nil"/>
              <w:bottom w:val="nil"/>
              <w:right w:val="nil"/>
            </w:tcBorders>
            <w:shd w:val="clear" w:color="000000" w:fill="F2F2F2"/>
            <w:vAlign w:val="center"/>
          </w:tcPr>
          <w:p w14:paraId="7A344675" w14:textId="45E0A579" w:rsidR="00F76FBB" w:rsidRPr="00F76FBB" w:rsidRDefault="00F22A3C">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338,431,688,479</w:t>
            </w:r>
            <w:r w:rsidR="004624BB">
              <w:rPr>
                <w:rFonts w:ascii="Noto Sans" w:eastAsia="Times New Roman" w:hAnsi="Noto Sans" w:cs="Noto Sans"/>
                <w:color w:val="000000"/>
                <w:sz w:val="15"/>
                <w:szCs w:val="15"/>
                <w:lang w:val="es-ES" w:eastAsia="es-MX"/>
              </w:rPr>
              <w:t>.</w:t>
            </w:r>
            <w:r w:rsidR="009957ED">
              <w:rPr>
                <w:rFonts w:ascii="Noto Sans" w:eastAsia="Times New Roman" w:hAnsi="Noto Sans" w:cs="Noto Sans"/>
                <w:color w:val="000000"/>
                <w:sz w:val="15"/>
                <w:szCs w:val="15"/>
                <w:lang w:val="es-ES" w:eastAsia="es-MX"/>
              </w:rPr>
              <w:t>3</w:t>
            </w:r>
          </w:p>
        </w:tc>
      </w:tr>
      <w:tr w:rsidR="00F76FBB" w:rsidRPr="00FC0913" w14:paraId="667F73C5" w14:textId="77777777" w:rsidTr="00DE0D05">
        <w:trPr>
          <w:trHeight w:val="252"/>
          <w:jc w:val="center"/>
        </w:trPr>
        <w:tc>
          <w:tcPr>
            <w:tcW w:w="6621" w:type="dxa"/>
            <w:tcBorders>
              <w:top w:val="nil"/>
              <w:left w:val="nil"/>
              <w:bottom w:val="nil"/>
              <w:right w:val="nil"/>
            </w:tcBorders>
            <w:shd w:val="clear" w:color="000000" w:fill="F2F2F2"/>
            <w:vAlign w:val="center"/>
          </w:tcPr>
          <w:p w14:paraId="3E541BAD" w14:textId="77777777" w:rsidR="00F76FBB" w:rsidRPr="00F76FBB" w:rsidRDefault="00F76FBB">
            <w:pPr>
              <w:spacing w:after="0" w:line="240" w:lineRule="auto"/>
              <w:rPr>
                <w:rFonts w:ascii="Noto Sans" w:eastAsia="Times New Roman" w:hAnsi="Noto Sans" w:cs="Noto Sans"/>
                <w:b/>
                <w:bCs/>
                <w:color w:val="000000"/>
                <w:sz w:val="15"/>
                <w:szCs w:val="15"/>
                <w:lang w:val="es-ES" w:eastAsia="es-MX"/>
              </w:rPr>
            </w:pPr>
            <w:r w:rsidRPr="00F76FBB">
              <w:rPr>
                <w:rFonts w:ascii="Noto Sans" w:eastAsia="Times New Roman" w:hAnsi="Noto Sans" w:cs="Noto Sans"/>
                <w:b/>
                <w:bCs/>
                <w:color w:val="000000"/>
                <w:sz w:val="15"/>
                <w:szCs w:val="15"/>
                <w:lang w:eastAsia="es-MX"/>
              </w:rPr>
              <w:t>3. Más Gastos Contables No Presupuestarios</w:t>
            </w:r>
          </w:p>
        </w:tc>
        <w:tc>
          <w:tcPr>
            <w:tcW w:w="1942" w:type="dxa"/>
            <w:tcBorders>
              <w:top w:val="nil"/>
              <w:left w:val="nil"/>
              <w:bottom w:val="nil"/>
              <w:right w:val="nil"/>
            </w:tcBorders>
            <w:shd w:val="clear" w:color="000000" w:fill="F2F2F2"/>
            <w:vAlign w:val="center"/>
          </w:tcPr>
          <w:p w14:paraId="3BB69503" w14:textId="5F0C94DC" w:rsidR="00F76FBB" w:rsidRPr="00F76FBB" w:rsidRDefault="00F22A3C">
            <w:pPr>
              <w:spacing w:after="0" w:line="240" w:lineRule="auto"/>
              <w:jc w:val="right"/>
              <w:rPr>
                <w:rFonts w:ascii="Noto Sans" w:eastAsia="Times New Roman" w:hAnsi="Noto Sans" w:cs="Noto Sans"/>
                <w:b/>
                <w:bCs/>
                <w:color w:val="000000"/>
                <w:sz w:val="15"/>
                <w:szCs w:val="15"/>
                <w:lang w:val="es-ES" w:eastAsia="es-MX"/>
              </w:rPr>
            </w:pPr>
            <w:r>
              <w:rPr>
                <w:rFonts w:ascii="Noto Sans" w:eastAsia="Times New Roman" w:hAnsi="Noto Sans" w:cs="Noto Sans"/>
                <w:b/>
                <w:bCs/>
                <w:color w:val="000000"/>
                <w:sz w:val="15"/>
                <w:szCs w:val="15"/>
                <w:lang w:val="es-ES" w:eastAsia="es-MX"/>
              </w:rPr>
              <w:t>42,140,909,84</w:t>
            </w:r>
            <w:r w:rsidR="00FA1413">
              <w:rPr>
                <w:rFonts w:ascii="Noto Sans" w:eastAsia="Times New Roman" w:hAnsi="Noto Sans" w:cs="Noto Sans"/>
                <w:b/>
                <w:bCs/>
                <w:color w:val="000000"/>
                <w:sz w:val="15"/>
                <w:szCs w:val="15"/>
                <w:lang w:val="es-ES" w:eastAsia="es-MX"/>
              </w:rPr>
              <w:t>8</w:t>
            </w:r>
            <w:r w:rsidR="004624BB">
              <w:rPr>
                <w:rFonts w:ascii="Noto Sans" w:eastAsia="Times New Roman" w:hAnsi="Noto Sans" w:cs="Noto Sans"/>
                <w:b/>
                <w:bCs/>
                <w:color w:val="000000"/>
                <w:sz w:val="15"/>
                <w:szCs w:val="15"/>
                <w:lang w:val="es-ES" w:eastAsia="es-MX"/>
              </w:rPr>
              <w:t>.</w:t>
            </w:r>
            <w:r w:rsidR="009957ED">
              <w:rPr>
                <w:rFonts w:ascii="Noto Sans" w:eastAsia="Times New Roman" w:hAnsi="Noto Sans" w:cs="Noto Sans"/>
                <w:b/>
                <w:bCs/>
                <w:color w:val="000000"/>
                <w:sz w:val="15"/>
                <w:szCs w:val="15"/>
                <w:lang w:val="es-ES" w:eastAsia="es-MX"/>
              </w:rPr>
              <w:t>8</w:t>
            </w:r>
          </w:p>
        </w:tc>
      </w:tr>
      <w:tr w:rsidR="00F76FBB" w:rsidRPr="00FC0913" w14:paraId="28F6C111" w14:textId="77777777" w:rsidTr="00DE0D05">
        <w:trPr>
          <w:trHeight w:val="252"/>
          <w:jc w:val="center"/>
        </w:trPr>
        <w:tc>
          <w:tcPr>
            <w:tcW w:w="6621" w:type="dxa"/>
            <w:tcBorders>
              <w:top w:val="nil"/>
              <w:left w:val="nil"/>
              <w:bottom w:val="nil"/>
              <w:right w:val="nil"/>
            </w:tcBorders>
            <w:shd w:val="clear" w:color="000000" w:fill="F2F2F2"/>
            <w:vAlign w:val="center"/>
          </w:tcPr>
          <w:p w14:paraId="42894B0C" w14:textId="77777777" w:rsidR="00F76FBB" w:rsidRPr="00F76FBB" w:rsidRDefault="00F76FBB">
            <w:pPr>
              <w:spacing w:after="0" w:line="240" w:lineRule="auto"/>
              <w:rPr>
                <w:rFonts w:ascii="Noto Sans" w:eastAsia="Times New Roman" w:hAnsi="Noto Sans" w:cs="Noto Sans"/>
                <w:color w:val="000000"/>
                <w:sz w:val="15"/>
                <w:szCs w:val="15"/>
                <w:lang w:val="es-ES" w:eastAsia="es-MX"/>
              </w:rPr>
            </w:pPr>
            <w:r w:rsidRPr="00F76FBB">
              <w:rPr>
                <w:rFonts w:ascii="Noto Sans" w:hAnsi="Noto Sans" w:cs="Noto Sans"/>
                <w:color w:val="000000"/>
                <w:sz w:val="15"/>
                <w:szCs w:val="15"/>
              </w:rPr>
              <w:t xml:space="preserve">        Estimaciones, Depreciaciones, Deterioros, Obsolescencia y Amortizaciones</w:t>
            </w:r>
          </w:p>
        </w:tc>
        <w:tc>
          <w:tcPr>
            <w:tcW w:w="1942" w:type="dxa"/>
            <w:tcBorders>
              <w:top w:val="nil"/>
              <w:left w:val="nil"/>
              <w:bottom w:val="nil"/>
              <w:right w:val="nil"/>
            </w:tcBorders>
            <w:shd w:val="clear" w:color="000000" w:fill="F2F2F2"/>
            <w:vAlign w:val="center"/>
          </w:tcPr>
          <w:p w14:paraId="2810D637" w14:textId="20D62A89" w:rsidR="00F76FBB" w:rsidRPr="00F76FBB" w:rsidRDefault="00F22A3C">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9,829,670,808</w:t>
            </w:r>
            <w:r w:rsidR="004624BB">
              <w:rPr>
                <w:rFonts w:ascii="Noto Sans" w:eastAsia="Times New Roman" w:hAnsi="Noto Sans" w:cs="Noto Sans"/>
                <w:color w:val="000000"/>
                <w:sz w:val="15"/>
                <w:szCs w:val="15"/>
                <w:lang w:val="es-ES" w:eastAsia="es-MX"/>
              </w:rPr>
              <w:t>.</w:t>
            </w:r>
            <w:r w:rsidR="009957ED">
              <w:rPr>
                <w:rFonts w:ascii="Noto Sans" w:eastAsia="Times New Roman" w:hAnsi="Noto Sans" w:cs="Noto Sans"/>
                <w:color w:val="000000"/>
                <w:sz w:val="15"/>
                <w:szCs w:val="15"/>
                <w:lang w:val="es-ES" w:eastAsia="es-MX"/>
              </w:rPr>
              <w:t>3</w:t>
            </w:r>
          </w:p>
        </w:tc>
      </w:tr>
      <w:tr w:rsidR="00F76FBB" w:rsidRPr="00FC0913" w14:paraId="7C8EB088" w14:textId="77777777" w:rsidTr="00DE0D05">
        <w:trPr>
          <w:trHeight w:val="252"/>
          <w:jc w:val="center"/>
        </w:trPr>
        <w:tc>
          <w:tcPr>
            <w:tcW w:w="6621" w:type="dxa"/>
            <w:tcBorders>
              <w:top w:val="nil"/>
              <w:left w:val="nil"/>
              <w:bottom w:val="nil"/>
              <w:right w:val="nil"/>
            </w:tcBorders>
            <w:shd w:val="clear" w:color="000000" w:fill="F2F2F2"/>
            <w:vAlign w:val="center"/>
          </w:tcPr>
          <w:p w14:paraId="1D596EC9" w14:textId="77777777" w:rsidR="00F76FBB" w:rsidRPr="00F76FBB" w:rsidRDefault="00F76FBB">
            <w:pPr>
              <w:spacing w:after="0" w:line="240" w:lineRule="auto"/>
              <w:rPr>
                <w:rFonts w:ascii="Noto Sans" w:eastAsia="Times New Roman" w:hAnsi="Noto Sans" w:cs="Noto Sans"/>
                <w:color w:val="000000"/>
                <w:sz w:val="15"/>
                <w:szCs w:val="15"/>
                <w:lang w:val="es-ES" w:eastAsia="es-MX"/>
              </w:rPr>
            </w:pPr>
            <w:r w:rsidRPr="00F76FBB">
              <w:rPr>
                <w:rFonts w:ascii="Noto Sans" w:hAnsi="Noto Sans" w:cs="Noto Sans"/>
                <w:color w:val="000000"/>
                <w:sz w:val="15"/>
                <w:szCs w:val="15"/>
              </w:rPr>
              <w:t xml:space="preserve">        Provisiones</w:t>
            </w:r>
          </w:p>
        </w:tc>
        <w:tc>
          <w:tcPr>
            <w:tcW w:w="1942" w:type="dxa"/>
            <w:tcBorders>
              <w:top w:val="nil"/>
              <w:left w:val="nil"/>
              <w:bottom w:val="nil"/>
              <w:right w:val="nil"/>
            </w:tcBorders>
            <w:shd w:val="clear" w:color="000000" w:fill="F2F2F2"/>
            <w:vAlign w:val="center"/>
          </w:tcPr>
          <w:p w14:paraId="0AFBE50C" w14:textId="23806F9E" w:rsidR="00F76FBB" w:rsidRPr="00F76FBB" w:rsidRDefault="00F22A3C">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28,578,251,641</w:t>
            </w:r>
            <w:r w:rsidR="004624BB">
              <w:rPr>
                <w:rFonts w:ascii="Noto Sans" w:eastAsia="Times New Roman" w:hAnsi="Noto Sans" w:cs="Noto Sans"/>
                <w:color w:val="000000"/>
                <w:sz w:val="15"/>
                <w:szCs w:val="15"/>
                <w:lang w:val="es-ES" w:eastAsia="es-MX"/>
              </w:rPr>
              <w:t>.</w:t>
            </w:r>
            <w:r w:rsidR="009957ED">
              <w:rPr>
                <w:rFonts w:ascii="Noto Sans" w:eastAsia="Times New Roman" w:hAnsi="Noto Sans" w:cs="Noto Sans"/>
                <w:color w:val="000000"/>
                <w:sz w:val="15"/>
                <w:szCs w:val="15"/>
                <w:lang w:val="es-ES" w:eastAsia="es-MX"/>
              </w:rPr>
              <w:t>4</w:t>
            </w:r>
          </w:p>
        </w:tc>
      </w:tr>
      <w:tr w:rsidR="00F76FBB" w:rsidRPr="00FC0913" w14:paraId="7A545EB5" w14:textId="77777777" w:rsidTr="00DE0D05">
        <w:trPr>
          <w:trHeight w:val="252"/>
          <w:jc w:val="center"/>
        </w:trPr>
        <w:tc>
          <w:tcPr>
            <w:tcW w:w="6621" w:type="dxa"/>
            <w:tcBorders>
              <w:top w:val="nil"/>
              <w:left w:val="nil"/>
              <w:bottom w:val="nil"/>
              <w:right w:val="nil"/>
            </w:tcBorders>
            <w:shd w:val="clear" w:color="000000" w:fill="F2F2F2"/>
            <w:vAlign w:val="center"/>
          </w:tcPr>
          <w:p w14:paraId="091753EF" w14:textId="77777777" w:rsidR="00F76FBB" w:rsidRPr="00F76FBB" w:rsidRDefault="00F76FBB">
            <w:pPr>
              <w:spacing w:after="0" w:line="240" w:lineRule="auto"/>
              <w:rPr>
                <w:rFonts w:ascii="Noto Sans" w:eastAsia="Times New Roman" w:hAnsi="Noto Sans" w:cs="Noto Sans"/>
                <w:color w:val="000000"/>
                <w:sz w:val="15"/>
                <w:szCs w:val="15"/>
                <w:lang w:val="es-ES" w:eastAsia="es-MX"/>
              </w:rPr>
            </w:pPr>
            <w:r w:rsidRPr="00F76FBB">
              <w:rPr>
                <w:rFonts w:ascii="Noto Sans" w:hAnsi="Noto Sans" w:cs="Noto Sans"/>
                <w:color w:val="000000"/>
                <w:sz w:val="15"/>
                <w:szCs w:val="15"/>
              </w:rPr>
              <w:t xml:space="preserve">        Disminución de Inventarios</w:t>
            </w:r>
          </w:p>
        </w:tc>
        <w:tc>
          <w:tcPr>
            <w:tcW w:w="1942" w:type="dxa"/>
            <w:tcBorders>
              <w:top w:val="nil"/>
              <w:left w:val="nil"/>
              <w:bottom w:val="nil"/>
              <w:right w:val="nil"/>
            </w:tcBorders>
            <w:shd w:val="clear" w:color="000000" w:fill="F2F2F2"/>
            <w:vAlign w:val="center"/>
          </w:tcPr>
          <w:p w14:paraId="5EFBBB7C" w14:textId="63ED61D3" w:rsidR="00F76FBB" w:rsidRPr="00F76FBB" w:rsidRDefault="00F22A3C">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3,254,731,445</w:t>
            </w:r>
            <w:r w:rsidR="004624BB">
              <w:rPr>
                <w:rFonts w:ascii="Noto Sans" w:eastAsia="Times New Roman" w:hAnsi="Noto Sans" w:cs="Noto Sans"/>
                <w:color w:val="000000"/>
                <w:sz w:val="15"/>
                <w:szCs w:val="15"/>
                <w:lang w:val="es-ES" w:eastAsia="es-MX"/>
              </w:rPr>
              <w:t>.</w:t>
            </w:r>
            <w:r w:rsidR="009957ED">
              <w:rPr>
                <w:rFonts w:ascii="Noto Sans" w:eastAsia="Times New Roman" w:hAnsi="Noto Sans" w:cs="Noto Sans"/>
                <w:color w:val="000000"/>
                <w:sz w:val="15"/>
                <w:szCs w:val="15"/>
                <w:lang w:val="es-ES" w:eastAsia="es-MX"/>
              </w:rPr>
              <w:t>2</w:t>
            </w:r>
          </w:p>
        </w:tc>
      </w:tr>
      <w:tr w:rsidR="00F76FBB" w:rsidRPr="00FC0913" w14:paraId="4D8FBB22" w14:textId="77777777" w:rsidTr="00DE0D05">
        <w:trPr>
          <w:trHeight w:val="252"/>
          <w:jc w:val="center"/>
        </w:trPr>
        <w:tc>
          <w:tcPr>
            <w:tcW w:w="6621" w:type="dxa"/>
            <w:tcBorders>
              <w:top w:val="nil"/>
              <w:left w:val="nil"/>
              <w:bottom w:val="nil"/>
              <w:right w:val="nil"/>
            </w:tcBorders>
            <w:shd w:val="clear" w:color="000000" w:fill="F2F2F2"/>
            <w:vAlign w:val="center"/>
          </w:tcPr>
          <w:p w14:paraId="61A676EC" w14:textId="77777777" w:rsidR="00F76FBB" w:rsidRDefault="00F76FBB">
            <w:pPr>
              <w:spacing w:after="0" w:line="240" w:lineRule="auto"/>
              <w:rPr>
                <w:rFonts w:ascii="Noto Sans" w:hAnsi="Noto Sans" w:cs="Noto Sans"/>
                <w:color w:val="000000"/>
                <w:sz w:val="15"/>
                <w:szCs w:val="15"/>
              </w:rPr>
            </w:pPr>
            <w:r w:rsidRPr="00F76FBB">
              <w:rPr>
                <w:rFonts w:ascii="Noto Sans" w:hAnsi="Noto Sans" w:cs="Noto Sans"/>
                <w:color w:val="000000"/>
                <w:sz w:val="15"/>
                <w:szCs w:val="15"/>
              </w:rPr>
              <w:t xml:space="preserve">        Otros Gastos</w:t>
            </w:r>
          </w:p>
          <w:p w14:paraId="5713823A" w14:textId="77777777" w:rsidR="00DE0D05" w:rsidRDefault="00DE0D05">
            <w:pPr>
              <w:spacing w:after="0" w:line="240" w:lineRule="auto"/>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 xml:space="preserve">        Inversión Pública no Capitalizable</w:t>
            </w:r>
          </w:p>
          <w:p w14:paraId="74789EEB" w14:textId="77777777" w:rsidR="00DE0D05" w:rsidRDefault="00DE0D05">
            <w:pPr>
              <w:spacing w:after="0" w:line="240" w:lineRule="auto"/>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 xml:space="preserve">        Materiales y Suministros (consumos)</w:t>
            </w:r>
          </w:p>
          <w:p w14:paraId="11C23DB8" w14:textId="7B7C57AF" w:rsidR="00DE0D05" w:rsidRPr="00F76FBB" w:rsidRDefault="00DE0D05">
            <w:pPr>
              <w:spacing w:after="0" w:line="240" w:lineRule="auto"/>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 xml:space="preserve">        Otros gastos contables no presupuestarios</w:t>
            </w:r>
          </w:p>
        </w:tc>
        <w:tc>
          <w:tcPr>
            <w:tcW w:w="1942" w:type="dxa"/>
            <w:tcBorders>
              <w:top w:val="nil"/>
              <w:left w:val="nil"/>
              <w:bottom w:val="nil"/>
              <w:right w:val="nil"/>
            </w:tcBorders>
            <w:shd w:val="clear" w:color="000000" w:fill="F2F2F2"/>
            <w:vAlign w:val="center"/>
          </w:tcPr>
          <w:p w14:paraId="41FFD347" w14:textId="77777777" w:rsidR="00F76FBB" w:rsidRDefault="00F22A3C">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478,255,954</w:t>
            </w:r>
            <w:r w:rsidR="004624BB">
              <w:rPr>
                <w:rFonts w:ascii="Noto Sans" w:eastAsia="Times New Roman" w:hAnsi="Noto Sans" w:cs="Noto Sans"/>
                <w:color w:val="000000"/>
                <w:sz w:val="15"/>
                <w:szCs w:val="15"/>
                <w:lang w:val="es-ES" w:eastAsia="es-MX"/>
              </w:rPr>
              <w:t>.0</w:t>
            </w:r>
          </w:p>
          <w:p w14:paraId="68CF848C" w14:textId="77777777" w:rsidR="00DE0D05" w:rsidRDefault="00DE0D05">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76A1721B" w14:textId="77777777" w:rsidR="00DE0D05" w:rsidRDefault="00DE0D05">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p w14:paraId="63C667FA" w14:textId="6A718D48" w:rsidR="00DE0D05" w:rsidRPr="00F76FBB" w:rsidRDefault="00DE0D05">
            <w:pPr>
              <w:spacing w:after="0" w:line="240" w:lineRule="auto"/>
              <w:jc w:val="right"/>
              <w:rPr>
                <w:rFonts w:ascii="Noto Sans" w:eastAsia="Times New Roman" w:hAnsi="Noto Sans" w:cs="Noto Sans"/>
                <w:color w:val="000000"/>
                <w:sz w:val="15"/>
                <w:szCs w:val="15"/>
                <w:lang w:val="es-ES" w:eastAsia="es-MX"/>
              </w:rPr>
            </w:pPr>
            <w:r>
              <w:rPr>
                <w:rFonts w:ascii="Noto Sans" w:eastAsia="Times New Roman" w:hAnsi="Noto Sans" w:cs="Noto Sans"/>
                <w:color w:val="000000"/>
                <w:sz w:val="15"/>
                <w:szCs w:val="15"/>
                <w:lang w:val="es-ES" w:eastAsia="es-MX"/>
              </w:rPr>
              <w:t>0.0</w:t>
            </w:r>
          </w:p>
        </w:tc>
      </w:tr>
      <w:tr w:rsidR="00F76FBB" w:rsidRPr="005946C5" w14:paraId="25CCBC7C" w14:textId="77777777" w:rsidTr="00DE0D05">
        <w:trPr>
          <w:trHeight w:val="252"/>
          <w:jc w:val="center"/>
        </w:trPr>
        <w:tc>
          <w:tcPr>
            <w:tcW w:w="6621" w:type="dxa"/>
            <w:tcBorders>
              <w:top w:val="nil"/>
              <w:left w:val="nil"/>
              <w:bottom w:val="single" w:sz="12" w:space="0" w:color="A6802D"/>
              <w:right w:val="nil"/>
            </w:tcBorders>
            <w:shd w:val="clear" w:color="000000" w:fill="F2F2F2"/>
            <w:vAlign w:val="center"/>
          </w:tcPr>
          <w:p w14:paraId="1E0AF4F9" w14:textId="77777777" w:rsidR="00F76FBB" w:rsidRPr="00F76FBB" w:rsidRDefault="00F76FBB">
            <w:pPr>
              <w:spacing w:after="0" w:line="240" w:lineRule="auto"/>
              <w:rPr>
                <w:rFonts w:ascii="Noto Sans" w:eastAsia="Times New Roman" w:hAnsi="Noto Sans" w:cs="Noto Sans"/>
                <w:b/>
                <w:bCs/>
                <w:color w:val="000000"/>
                <w:sz w:val="15"/>
                <w:szCs w:val="15"/>
                <w:lang w:val="es-ES" w:eastAsia="es-MX"/>
              </w:rPr>
            </w:pPr>
            <w:r w:rsidRPr="00F76FBB">
              <w:rPr>
                <w:rFonts w:ascii="Noto Sans" w:eastAsia="Times New Roman" w:hAnsi="Noto Sans" w:cs="Noto Sans"/>
                <w:b/>
                <w:bCs/>
                <w:color w:val="000000"/>
                <w:sz w:val="15"/>
                <w:szCs w:val="15"/>
                <w:lang w:eastAsia="es-MX"/>
              </w:rPr>
              <w:t>4. Total de Gastos Contables</w:t>
            </w:r>
          </w:p>
        </w:tc>
        <w:tc>
          <w:tcPr>
            <w:tcW w:w="1942" w:type="dxa"/>
            <w:tcBorders>
              <w:top w:val="nil"/>
              <w:left w:val="nil"/>
              <w:bottom w:val="single" w:sz="12" w:space="0" w:color="A6802D"/>
              <w:right w:val="nil"/>
            </w:tcBorders>
            <w:shd w:val="clear" w:color="000000" w:fill="F2F2F2"/>
            <w:vAlign w:val="center"/>
          </w:tcPr>
          <w:p w14:paraId="2564C455" w14:textId="3396B3C8" w:rsidR="00F76FBB" w:rsidRPr="00F76FBB" w:rsidRDefault="00F22A3C">
            <w:pPr>
              <w:spacing w:after="0" w:line="240" w:lineRule="auto"/>
              <w:jc w:val="right"/>
              <w:rPr>
                <w:rFonts w:ascii="Noto Sans" w:eastAsia="Times New Roman" w:hAnsi="Noto Sans" w:cs="Noto Sans"/>
                <w:b/>
                <w:bCs/>
                <w:color w:val="000000"/>
                <w:sz w:val="15"/>
                <w:szCs w:val="15"/>
                <w:lang w:val="es-ES" w:eastAsia="es-MX"/>
              </w:rPr>
            </w:pPr>
            <w:r>
              <w:rPr>
                <w:rFonts w:ascii="Noto Sans" w:eastAsia="Times New Roman" w:hAnsi="Noto Sans" w:cs="Noto Sans"/>
                <w:b/>
                <w:bCs/>
                <w:color w:val="000000"/>
                <w:sz w:val="15"/>
                <w:szCs w:val="15"/>
                <w:lang w:val="es-ES" w:eastAsia="es-MX"/>
              </w:rPr>
              <w:t>393,347,056,794</w:t>
            </w:r>
            <w:r w:rsidR="004624BB">
              <w:rPr>
                <w:rFonts w:ascii="Noto Sans" w:eastAsia="Times New Roman" w:hAnsi="Noto Sans" w:cs="Noto Sans"/>
                <w:b/>
                <w:bCs/>
                <w:color w:val="000000"/>
                <w:sz w:val="15"/>
                <w:szCs w:val="15"/>
                <w:lang w:val="es-ES" w:eastAsia="es-MX"/>
              </w:rPr>
              <w:t>.</w:t>
            </w:r>
            <w:r w:rsidR="00D02AB2">
              <w:rPr>
                <w:rFonts w:ascii="Noto Sans" w:eastAsia="Times New Roman" w:hAnsi="Noto Sans" w:cs="Noto Sans"/>
                <w:b/>
                <w:bCs/>
                <w:color w:val="000000"/>
                <w:sz w:val="15"/>
                <w:szCs w:val="15"/>
                <w:lang w:val="es-ES" w:eastAsia="es-MX"/>
              </w:rPr>
              <w:t>2</w:t>
            </w:r>
          </w:p>
        </w:tc>
      </w:tr>
      <w:tr w:rsidR="00F76FBB" w:rsidRPr="00274555" w14:paraId="344EF81E" w14:textId="77777777" w:rsidTr="00DE0D05">
        <w:trPr>
          <w:trHeight w:val="252"/>
          <w:jc w:val="center"/>
        </w:trPr>
        <w:tc>
          <w:tcPr>
            <w:tcW w:w="8564" w:type="dxa"/>
            <w:gridSpan w:val="2"/>
            <w:tcBorders>
              <w:top w:val="single" w:sz="12" w:space="0" w:color="A6802D"/>
              <w:left w:val="nil"/>
            </w:tcBorders>
            <w:vAlign w:val="center"/>
          </w:tcPr>
          <w:p w14:paraId="3A679F17" w14:textId="77777777" w:rsidR="00F76FBB" w:rsidRPr="00274555" w:rsidRDefault="00F76FBB" w:rsidP="00655E4E">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4244652A" w14:textId="77777777" w:rsidR="00DE0D05" w:rsidRDefault="00DE0D05" w:rsidP="00DE0D05">
      <w:pPr>
        <w:pStyle w:val="TEXTONORMAL"/>
        <w:ind w:left="357"/>
      </w:pPr>
    </w:p>
    <w:p w14:paraId="3CB09D6F" w14:textId="7F6E3717" w:rsidR="005E2D48" w:rsidRPr="002B471D" w:rsidRDefault="005E2D48" w:rsidP="00D06BE8">
      <w:pPr>
        <w:pStyle w:val="TEXTONORMAL"/>
        <w:numPr>
          <w:ilvl w:val="0"/>
          <w:numId w:val="102"/>
        </w:numPr>
        <w:ind w:left="357" w:hanging="357"/>
      </w:pPr>
      <w:r w:rsidRPr="002B471D">
        <w:lastRenderedPageBreak/>
        <w:t xml:space="preserve">Responsabilidad Sobre la Presentación Razonable de la Información Contable </w:t>
      </w:r>
    </w:p>
    <w:p w14:paraId="033868C3" w14:textId="77777777" w:rsidR="005E2D48" w:rsidRDefault="005E2D48" w:rsidP="005E2D48">
      <w:pPr>
        <w:pStyle w:val="TEXTONORMAL"/>
      </w:pPr>
      <w:r>
        <w:t>Estos Estados Financieros deberán ser presentados en fecha posterior al H. Consejo Técnico y a la Asamblea General del Instituto, a fin de dar cumplimiento con lo dispuesto por el artículo 261 de la LSS los cuales se elaboraron y someten a consideración de dichos órganos colegiados con fundamento en los artículos 66, fracción IX y X y 70, fracción XIX, del Reglamento Interior del Instituto Mexicano del Seguro Social.</w:t>
      </w:r>
    </w:p>
    <w:p w14:paraId="2617A87B" w14:textId="77777777" w:rsidR="005E2D48" w:rsidRDefault="005E2D48" w:rsidP="005E2D48">
      <w:pPr>
        <w:pStyle w:val="TEXTONORMAL"/>
      </w:pPr>
      <w:r>
        <w:t>Estas notas son parte integrante de los Estados Financieros adjuntos.</w:t>
      </w:r>
    </w:p>
    <w:p w14:paraId="74A72D88" w14:textId="77777777" w:rsidR="005E2D48" w:rsidRDefault="005E2D48" w:rsidP="005E2D48">
      <w:pPr>
        <w:pStyle w:val="TEXTONORMAL"/>
      </w:pPr>
      <w:r>
        <w:t>“Bajo protesta de decir verdad declaramos que los Estados Financieros y sus notas, son razonablemente correctos y son responsabilidad del emisor”</w:t>
      </w:r>
    </w:p>
    <w:p w14:paraId="4C8AA9C0" w14:textId="1AD903D3" w:rsidR="00787874" w:rsidRPr="00787874" w:rsidRDefault="00D33B94" w:rsidP="00BD7C22">
      <w:pPr>
        <w:pStyle w:val="TEXTONORMAL"/>
        <w:rPr>
          <w:rFonts w:cs="Noto Sans"/>
          <w:szCs w:val="18"/>
        </w:rPr>
      </w:pPr>
      <w:r>
        <w:rPr>
          <w:rFonts w:ascii="Times New Roman" w:hAnsi="Times New Roman"/>
          <w:noProof/>
          <w:sz w:val="24"/>
          <w:szCs w:val="24"/>
          <w:lang w:eastAsia="es-MX"/>
        </w:rPr>
        <mc:AlternateContent>
          <mc:Choice Requires="wps">
            <w:drawing>
              <wp:anchor distT="0" distB="0" distL="114300" distR="114300" simplePos="0" relativeHeight="251659264" behindDoc="0" locked="0" layoutInCell="1" allowOverlap="1" wp14:anchorId="458BD38D" wp14:editId="76D9A203">
                <wp:simplePos x="0" y="0"/>
                <wp:positionH relativeFrom="column">
                  <wp:posOffset>912467</wp:posOffset>
                </wp:positionH>
                <wp:positionV relativeFrom="paragraph">
                  <wp:posOffset>1114534</wp:posOffset>
                </wp:positionV>
                <wp:extent cx="2897505" cy="1017767"/>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017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8CBF" w14:textId="77777777" w:rsidR="00F43CF8" w:rsidRDefault="00F43CF8" w:rsidP="005E2D48"/>
                          <w:p w14:paraId="32DFD3F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Autorizó: Shadai G. Sánchez Osorio</w:t>
                            </w:r>
                          </w:p>
                          <w:p w14:paraId="4FD3AC48" w14:textId="12451FB4" w:rsidR="00F43CF8" w:rsidRPr="00D33B94" w:rsidRDefault="00F43CF8" w:rsidP="00D33B94">
                            <w:pPr>
                              <w:pBdr>
                                <w:top w:val="single" w:sz="4" w:space="1" w:color="auto"/>
                              </w:pBdr>
                              <w:spacing w:after="0"/>
                              <w:jc w:val="center"/>
                              <w:rPr>
                                <w:rFonts w:ascii="Noto Sans" w:hAnsi="Noto Sans" w:cs="Noto Sans"/>
                                <w:sz w:val="18"/>
                              </w:rPr>
                            </w:pPr>
                            <w:r w:rsidRPr="00D33B94">
                              <w:rPr>
                                <w:rFonts w:ascii="Noto Sans" w:hAnsi="Noto Sans" w:cs="Noto Sans"/>
                                <w:sz w:val="18"/>
                                <w:szCs w:val="18"/>
                              </w:rPr>
                              <w:t xml:space="preserve">Coordinador de Contabilidad y Trámite de </w:t>
                            </w:r>
                          </w:p>
                          <w:p w14:paraId="748CCF6C" w14:textId="6AA76523" w:rsidR="00F43CF8" w:rsidRPr="00D33B94" w:rsidRDefault="00F43CF8" w:rsidP="00CD6033">
                            <w:pPr>
                              <w:pBdr>
                                <w:top w:val="single" w:sz="4" w:space="1" w:color="auto"/>
                              </w:pBdr>
                              <w:spacing w:after="0"/>
                              <w:jc w:val="center"/>
                              <w:rPr>
                                <w:rFonts w:ascii="Noto Sans" w:hAnsi="Noto Sans" w:cs="Noto Sans"/>
                                <w:sz w:val="18"/>
                              </w:rPr>
                            </w:pPr>
                            <w:r w:rsidRPr="00D33B94">
                              <w:rPr>
                                <w:rFonts w:ascii="Noto Sans" w:hAnsi="Noto Sans" w:cs="Noto Sans"/>
                                <w:sz w:val="18"/>
                                <w:szCs w:val="18"/>
                              </w:rPr>
                              <w:t>Erogaciones</w:t>
                            </w:r>
                          </w:p>
                          <w:p w14:paraId="4027035B" w14:textId="50441BB9" w:rsidR="00F43CF8" w:rsidRPr="005E2D48" w:rsidRDefault="00F43CF8" w:rsidP="00CD6033">
                            <w:pPr>
                              <w:pBdr>
                                <w:top w:val="single" w:sz="4" w:space="1" w:color="auto"/>
                              </w:pBdr>
                              <w:spacing w:after="0"/>
                              <w:jc w:val="center"/>
                              <w:rPr>
                                <w:rFonts w:ascii="Noto Sans" w:hAnsi="Noto Sans" w:cs="Noto Sans"/>
                                <w:color w:val="FFFFFF"/>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BD38D" id="_x0000_t202" coordsize="21600,21600" o:spt="202" path="m,l,21600r21600,l21600,xe">
                <v:stroke joinstyle="miter"/>
                <v:path gradientshapeok="t" o:connecttype="rect"/>
              </v:shapetype>
              <v:shape id="Cuadro de texto 36" o:spid="_x0000_s1026" type="#_x0000_t202" style="position:absolute;left:0;text-align:left;margin-left:71.85pt;margin-top:87.75pt;width:228.1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" filled="f" stroked="f">
                <v:textbox>
                  <w:txbxContent>
                    <w:p w14:paraId="65788CBF" w14:textId="77777777" w:rsidR="00F43CF8" w:rsidRDefault="00F43CF8" w:rsidP="005E2D48"/>
                    <w:p w14:paraId="32DFD3F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Autorizó: Shadai G. Sánchez Osorio</w:t>
                      </w:r>
                    </w:p>
                    <w:p w14:paraId="4FD3AC48" w14:textId="12451FB4" w:rsidR="00F43CF8" w:rsidRPr="00D33B94" w:rsidRDefault="00F43CF8" w:rsidP="00D33B94">
                      <w:pPr>
                        <w:pBdr>
                          <w:top w:val="single" w:sz="4" w:space="1" w:color="auto"/>
                        </w:pBdr>
                        <w:spacing w:after="0"/>
                        <w:jc w:val="center"/>
                        <w:rPr>
                          <w:rFonts w:ascii="Noto Sans" w:hAnsi="Noto Sans" w:cs="Noto Sans"/>
                          <w:sz w:val="18"/>
                        </w:rPr>
                      </w:pPr>
                      <w:r w:rsidRPr="00D33B94">
                        <w:rPr>
                          <w:rFonts w:ascii="Noto Sans" w:hAnsi="Noto Sans" w:cs="Noto Sans"/>
                          <w:sz w:val="18"/>
                          <w:szCs w:val="18"/>
                        </w:rPr>
                        <w:t xml:space="preserve">Coordinador de Contabilidad y Trámite de </w:t>
                      </w:r>
                    </w:p>
                    <w:p w14:paraId="748CCF6C" w14:textId="6AA76523" w:rsidR="00F43CF8" w:rsidRPr="00D33B94" w:rsidRDefault="00F43CF8" w:rsidP="00CD6033">
                      <w:pPr>
                        <w:pBdr>
                          <w:top w:val="single" w:sz="4" w:space="1" w:color="auto"/>
                        </w:pBdr>
                        <w:spacing w:after="0"/>
                        <w:jc w:val="center"/>
                        <w:rPr>
                          <w:rFonts w:ascii="Noto Sans" w:hAnsi="Noto Sans" w:cs="Noto Sans"/>
                          <w:sz w:val="18"/>
                        </w:rPr>
                      </w:pPr>
                      <w:r w:rsidRPr="00D33B94">
                        <w:rPr>
                          <w:rFonts w:ascii="Noto Sans" w:hAnsi="Noto Sans" w:cs="Noto Sans"/>
                          <w:sz w:val="18"/>
                          <w:szCs w:val="18"/>
                        </w:rPr>
                        <w:t>Erogaciones</w:t>
                      </w:r>
                    </w:p>
                    <w:p w14:paraId="4027035B" w14:textId="50441BB9" w:rsidR="00F43CF8" w:rsidRPr="005E2D48" w:rsidRDefault="00F43CF8" w:rsidP="00CD6033">
                      <w:pPr>
                        <w:pBdr>
                          <w:top w:val="single" w:sz="4" w:space="1" w:color="auto"/>
                        </w:pBdr>
                        <w:spacing w:after="0"/>
                        <w:jc w:val="center"/>
                        <w:rPr>
                          <w:rFonts w:ascii="Noto Sans" w:hAnsi="Noto Sans" w:cs="Noto Sans"/>
                          <w:color w:val="FFFFFF"/>
                          <w:sz w:val="18"/>
                        </w:rPr>
                      </w:pPr>
                    </w:p>
                  </w:txbxContent>
                </v:textbox>
              </v:shape>
            </w:pict>
          </mc:Fallback>
        </mc:AlternateContent>
      </w:r>
      <w:r w:rsidR="005E2D48">
        <w:rPr>
          <w:rFonts w:ascii="Times New Roman" w:hAnsi="Times New Roman"/>
          <w:noProof/>
          <w:sz w:val="24"/>
          <w:szCs w:val="24"/>
          <w:lang w:eastAsia="es-MX"/>
        </w:rPr>
        <mc:AlternateContent>
          <mc:Choice Requires="wps">
            <w:drawing>
              <wp:anchor distT="0" distB="0" distL="114300" distR="114300" simplePos="0" relativeHeight="251661312" behindDoc="0" locked="0" layoutInCell="1" allowOverlap="1" wp14:anchorId="54CAFBFF" wp14:editId="12748395">
                <wp:simplePos x="0" y="0"/>
                <wp:positionH relativeFrom="column">
                  <wp:posOffset>4416425</wp:posOffset>
                </wp:positionH>
                <wp:positionV relativeFrom="paragraph">
                  <wp:posOffset>1120140</wp:posOffset>
                </wp:positionV>
                <wp:extent cx="2897505" cy="765810"/>
                <wp:effectExtent l="0" t="0" r="0" b="0"/>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E41C" w14:textId="77777777" w:rsidR="00F43CF8" w:rsidRPr="00D33B94" w:rsidRDefault="00F43CF8" w:rsidP="005E2D48">
                            <w:pPr>
                              <w:rPr>
                                <w:rFonts w:ascii="Noto Sans" w:hAnsi="Noto Sans" w:cs="Noto Sans"/>
                              </w:rPr>
                            </w:pPr>
                          </w:p>
                          <w:p w14:paraId="47F92CE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Elaboró: Verónica Barrios Nava</w:t>
                            </w:r>
                          </w:p>
                          <w:p w14:paraId="3D3CA31D" w14:textId="77777777" w:rsidR="00F43CF8" w:rsidRPr="00D33B94" w:rsidRDefault="00F43CF8" w:rsidP="00D33B94">
                            <w:pPr>
                              <w:jc w:val="center"/>
                              <w:rPr>
                                <w:rFonts w:ascii="Noto Sans" w:hAnsi="Noto Sans" w:cs="Noto Sans"/>
                              </w:rPr>
                            </w:pPr>
                            <w:r w:rsidRPr="00D33B94">
                              <w:rPr>
                                <w:rFonts w:ascii="Noto Sans" w:hAnsi="Noto Sans" w:cs="Noto Sans"/>
                                <w:sz w:val="18"/>
                                <w:szCs w:val="18"/>
                              </w:rPr>
                              <w:t>Titular de la División de Contabilidad</w:t>
                            </w:r>
                          </w:p>
                          <w:p w14:paraId="777CD35F" w14:textId="7B56B20A" w:rsidR="00F43CF8" w:rsidRPr="005E2D48" w:rsidRDefault="00F43CF8" w:rsidP="00D33B94">
                            <w:pPr>
                              <w:pBdr>
                                <w:top w:val="single" w:sz="4" w:space="1" w:color="auto"/>
                              </w:pBdr>
                              <w:spacing w:after="0"/>
                              <w:jc w:val="center"/>
                              <w:rPr>
                                <w:rFonts w:ascii="Noto Sans" w:hAnsi="Noto Sans" w:cs="Noto Sans"/>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AFBFF" id="Cuadro de texto 75" o:spid="_x0000_s1027" type="#_x0000_t202" style="position:absolute;left:0;text-align:left;margin-left:347.75pt;margin-top:88.2pt;width:228.15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" filled="f" stroked="f">
                <v:textbox>
                  <w:txbxContent>
                    <w:p w14:paraId="2814E41C" w14:textId="77777777" w:rsidR="00F43CF8" w:rsidRPr="00D33B94" w:rsidRDefault="00F43CF8" w:rsidP="005E2D48">
                      <w:pPr>
                        <w:rPr>
                          <w:rFonts w:ascii="Noto Sans" w:hAnsi="Noto Sans" w:cs="Noto Sans"/>
                        </w:rPr>
                      </w:pPr>
                    </w:p>
                    <w:p w14:paraId="47F92CE8" w14:textId="77777777" w:rsidR="00F43CF8" w:rsidRPr="00D33B94" w:rsidRDefault="00F43CF8" w:rsidP="00D33B94">
                      <w:pPr>
                        <w:pBdr>
                          <w:top w:val="single" w:sz="4" w:space="1" w:color="auto"/>
                        </w:pBdr>
                        <w:spacing w:after="0"/>
                        <w:jc w:val="center"/>
                        <w:rPr>
                          <w:rFonts w:ascii="Noto Sans" w:hAnsi="Noto Sans" w:cs="Noto Sans"/>
                          <w:sz w:val="18"/>
                          <w:szCs w:val="18"/>
                        </w:rPr>
                      </w:pPr>
                      <w:r w:rsidRPr="00D33B94">
                        <w:rPr>
                          <w:rFonts w:ascii="Noto Sans" w:hAnsi="Noto Sans" w:cs="Noto Sans"/>
                          <w:sz w:val="18"/>
                          <w:szCs w:val="18"/>
                        </w:rPr>
                        <w:t>Elaboró: Verónica Barrios Nava</w:t>
                      </w:r>
                    </w:p>
                    <w:p w14:paraId="3D3CA31D" w14:textId="77777777" w:rsidR="00F43CF8" w:rsidRPr="00D33B94" w:rsidRDefault="00F43CF8" w:rsidP="00D33B94">
                      <w:pPr>
                        <w:jc w:val="center"/>
                        <w:rPr>
                          <w:rFonts w:ascii="Noto Sans" w:hAnsi="Noto Sans" w:cs="Noto Sans"/>
                        </w:rPr>
                      </w:pPr>
                      <w:r w:rsidRPr="00D33B94">
                        <w:rPr>
                          <w:rFonts w:ascii="Noto Sans" w:hAnsi="Noto Sans" w:cs="Noto Sans"/>
                          <w:sz w:val="18"/>
                          <w:szCs w:val="18"/>
                        </w:rPr>
                        <w:t>Titular de la División de Contabilidad</w:t>
                      </w:r>
                    </w:p>
                    <w:p w14:paraId="777CD35F" w14:textId="7B56B20A" w:rsidR="00F43CF8" w:rsidRPr="005E2D48" w:rsidRDefault="00F43CF8" w:rsidP="00D33B94">
                      <w:pPr>
                        <w:pBdr>
                          <w:top w:val="single" w:sz="4" w:space="1" w:color="auto"/>
                        </w:pBdr>
                        <w:spacing w:after="0"/>
                        <w:jc w:val="center"/>
                        <w:rPr>
                          <w:rFonts w:ascii="Noto Sans" w:hAnsi="Noto Sans" w:cs="Noto Sans"/>
                          <w:sz w:val="18"/>
                        </w:rPr>
                      </w:pPr>
                    </w:p>
                  </w:txbxContent>
                </v:textbox>
              </v:shape>
            </w:pict>
          </mc:Fallback>
        </mc:AlternateContent>
      </w:r>
    </w:p>
    <w:sectPr w:rsidR="00787874" w:rsidRPr="00787874" w:rsidSect="00E0188F">
      <w:headerReference w:type="default" r:id="rId11"/>
      <w:footerReference w:type="default" r:id="rId12"/>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090A4" w14:textId="77777777" w:rsidR="004344C2" w:rsidRDefault="004344C2" w:rsidP="00D77CE3">
      <w:pPr>
        <w:spacing w:after="0" w:line="240" w:lineRule="auto"/>
      </w:pPr>
      <w:r>
        <w:separator/>
      </w:r>
    </w:p>
    <w:p w14:paraId="79D9B15A" w14:textId="77777777" w:rsidR="004344C2" w:rsidRDefault="004344C2"/>
  </w:endnote>
  <w:endnote w:type="continuationSeparator" w:id="0">
    <w:p w14:paraId="522EAC90" w14:textId="77777777" w:rsidR="004344C2" w:rsidRDefault="004344C2" w:rsidP="00D77CE3">
      <w:pPr>
        <w:spacing w:after="0" w:line="240" w:lineRule="auto"/>
      </w:pPr>
      <w:r>
        <w:continuationSeparator/>
      </w:r>
    </w:p>
    <w:p w14:paraId="639EF5EA" w14:textId="77777777" w:rsidR="004344C2" w:rsidRDefault="00434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Noto Sans ExtraBold">
    <w:altName w:val="Calibri"/>
    <w:panose1 w:val="020B0502040504020204"/>
    <w:charset w:val="00"/>
    <w:family w:val="swiss"/>
    <w:pitch w:val="variable"/>
    <w:sig w:usb0="E00002FF" w:usb1="4000201F" w:usb2="08000029" w:usb3="00000000" w:csb0="0000019F" w:csb1="00000000"/>
  </w:font>
  <w:font w:name="Montserrat">
    <w:altName w:val="Times New Roman"/>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jc w:val="center"/>
      <w:tblBorders>
        <w:top w:val="single" w:sz="12" w:space="0" w:color="691C32"/>
      </w:tblBorders>
      <w:tblLook w:val="04A0" w:firstRow="1" w:lastRow="0" w:firstColumn="1" w:lastColumn="0" w:noHBand="0" w:noVBand="1"/>
    </w:tblPr>
    <w:tblGrid>
      <w:gridCol w:w="2074"/>
      <w:gridCol w:w="8969"/>
      <w:gridCol w:w="2094"/>
    </w:tblGrid>
    <w:tr w:rsidR="00F43CF8" w:rsidRPr="00161074" w14:paraId="22820217" w14:textId="77777777" w:rsidTr="00E90888">
      <w:trPr>
        <w:jc w:val="center"/>
      </w:trPr>
      <w:tc>
        <w:tcPr>
          <w:tcW w:w="2074" w:type="dxa"/>
        </w:tcPr>
        <w:p w14:paraId="515029A2" w14:textId="77777777" w:rsidR="00F43CF8" w:rsidRPr="00161074" w:rsidRDefault="00F43CF8" w:rsidP="00E90888">
          <w:pPr>
            <w:pStyle w:val="PiePagEnte"/>
          </w:pPr>
        </w:p>
      </w:tc>
      <w:tc>
        <w:tcPr>
          <w:tcW w:w="8969" w:type="dxa"/>
        </w:tcPr>
        <w:p w14:paraId="0B5A149B" w14:textId="77777777" w:rsidR="00F43CF8" w:rsidRPr="00161074" w:rsidRDefault="00F43CF8" w:rsidP="0078631D">
          <w:pPr>
            <w:pStyle w:val="PiePagEnte"/>
          </w:pPr>
          <w:r>
            <w:t>instituto mexicano del seguro social</w:t>
          </w:r>
        </w:p>
      </w:tc>
      <w:tc>
        <w:tcPr>
          <w:tcW w:w="2094" w:type="dxa"/>
        </w:tcPr>
        <w:p w14:paraId="19D52F3D" w14:textId="77777777" w:rsidR="00F43CF8" w:rsidRPr="000C47A3" w:rsidRDefault="00F43CF8" w:rsidP="00E22511">
          <w:pPr>
            <w:pStyle w:val="Piedepgina"/>
          </w:pPr>
          <w:r w:rsidRPr="000C47A3">
            <w:t xml:space="preserve">Página </w:t>
          </w:r>
          <w:r w:rsidRPr="000C47A3">
            <w:fldChar w:fldCharType="begin"/>
          </w:r>
          <w:r w:rsidRPr="000C47A3">
            <w:instrText>PAGE</w:instrText>
          </w:r>
          <w:r w:rsidRPr="000C47A3">
            <w:fldChar w:fldCharType="separate"/>
          </w:r>
          <w:r w:rsidR="0007469A">
            <w:rPr>
              <w:noProof/>
            </w:rPr>
            <w:t>81</w:t>
          </w:r>
          <w:r w:rsidRPr="000C47A3">
            <w:fldChar w:fldCharType="end"/>
          </w:r>
          <w:r w:rsidRPr="000C47A3">
            <w:t xml:space="preserve"> de </w:t>
          </w:r>
          <w:r w:rsidRPr="000C47A3">
            <w:fldChar w:fldCharType="begin"/>
          </w:r>
          <w:r w:rsidRPr="000C47A3">
            <w:instrText>NUMPAGES</w:instrText>
          </w:r>
          <w:r w:rsidRPr="000C47A3">
            <w:fldChar w:fldCharType="separate"/>
          </w:r>
          <w:r w:rsidR="0007469A">
            <w:rPr>
              <w:noProof/>
            </w:rPr>
            <w:t>92</w:t>
          </w:r>
          <w:r w:rsidRPr="000C47A3">
            <w:fldChar w:fldCharType="end"/>
          </w:r>
        </w:p>
      </w:tc>
    </w:tr>
  </w:tbl>
  <w:p w14:paraId="7096F868" w14:textId="77777777" w:rsidR="00F43CF8" w:rsidRDefault="00F43C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5567" w14:textId="77777777" w:rsidR="004344C2" w:rsidRDefault="004344C2" w:rsidP="00D77CE3">
      <w:pPr>
        <w:spacing w:after="0" w:line="240" w:lineRule="auto"/>
      </w:pPr>
      <w:r>
        <w:separator/>
      </w:r>
    </w:p>
  </w:footnote>
  <w:footnote w:type="continuationSeparator" w:id="0">
    <w:p w14:paraId="621E38E2" w14:textId="77777777" w:rsidR="004344C2" w:rsidRDefault="004344C2" w:rsidP="00D77CE3">
      <w:pPr>
        <w:spacing w:after="0" w:line="240" w:lineRule="auto"/>
      </w:pPr>
      <w:r>
        <w:continuationSeparator/>
      </w:r>
    </w:p>
    <w:p w14:paraId="3C7926DF" w14:textId="77777777" w:rsidR="004344C2" w:rsidRDefault="004344C2"/>
  </w:footnote>
  <w:footnote w:id="1">
    <w:p w14:paraId="1A598516" w14:textId="77777777" w:rsidR="00F43CF8" w:rsidRPr="008E6A68" w:rsidRDefault="00F43CF8" w:rsidP="0002360D">
      <w:pPr>
        <w:pStyle w:val="Textonotapie"/>
        <w:spacing w:after="120" w:line="240" w:lineRule="auto"/>
        <w:ind w:left="170" w:hanging="170"/>
        <w:jc w:val="both"/>
        <w:rPr>
          <w:rFonts w:ascii="Noto Sans" w:hAnsi="Noto Sans" w:cs="Noto Sans"/>
          <w:sz w:val="16"/>
          <w:szCs w:val="16"/>
        </w:rPr>
      </w:pPr>
      <w:r w:rsidRPr="008E6A68">
        <w:rPr>
          <w:rStyle w:val="Refdenotaalpie"/>
          <w:rFonts w:ascii="Noto Sans" w:hAnsi="Noto Sans" w:cs="Noto Sans"/>
          <w:sz w:val="16"/>
          <w:szCs w:val="16"/>
        </w:rPr>
        <w:footnoteRef/>
      </w:r>
      <w:r w:rsidRPr="008E6A68">
        <w:rPr>
          <w:rFonts w:ascii="Noto Sans" w:hAnsi="Noto Sans" w:cs="Noto Sans"/>
          <w:color w:val="000000"/>
          <w:sz w:val="16"/>
          <w:szCs w:val="16"/>
        </w:rPr>
        <w:t>/ Cuotas establecidas en la LSS, sin embargo se debe considerar el transitorio tercero del DECRETO por el que se declaran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tblBorders>
        <w:bottom w:val="thinThickSmallGap" w:sz="36" w:space="0" w:color="691C32"/>
      </w:tblBorders>
      <w:tblLook w:val="04A0" w:firstRow="1" w:lastRow="0" w:firstColumn="1" w:lastColumn="0" w:noHBand="0" w:noVBand="1"/>
    </w:tblPr>
    <w:tblGrid>
      <w:gridCol w:w="13137"/>
    </w:tblGrid>
    <w:tr w:rsidR="00F43CF8" w:rsidRPr="00E90888" w14:paraId="083A72AA" w14:textId="77777777" w:rsidTr="00E90888">
      <w:tc>
        <w:tcPr>
          <w:tcW w:w="13137" w:type="dxa"/>
          <w:vAlign w:val="bottom"/>
        </w:tcPr>
        <w:p w14:paraId="510A03A3" w14:textId="0F60792E" w:rsidR="00F43CF8" w:rsidRPr="00E90888" w:rsidRDefault="00F43CF8" w:rsidP="0096434E">
          <w:pPr>
            <w:pStyle w:val="Encabezado"/>
            <w:rPr>
              <w:b/>
              <w:szCs w:val="26"/>
            </w:rPr>
          </w:pPr>
        </w:p>
      </w:tc>
    </w:tr>
  </w:tbl>
  <w:p w14:paraId="454D8D31" w14:textId="77777777" w:rsidR="00F43CF8" w:rsidRPr="00BA0AF5" w:rsidRDefault="00F43CF8" w:rsidP="00C87A83">
    <w:pPr>
      <w:pStyle w:val="Encabezado"/>
      <w:spacing w:after="0"/>
      <w:jc w:val="both"/>
      <w:rPr>
        <w:rFonts w:cs="Noto San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999"/>
    <w:multiLevelType w:val="hybridMultilevel"/>
    <w:tmpl w:val="4E683C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65007"/>
    <w:multiLevelType w:val="hybridMultilevel"/>
    <w:tmpl w:val="DAB4EAB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A974FC"/>
    <w:multiLevelType w:val="hybridMultilevel"/>
    <w:tmpl w:val="2FBE1178"/>
    <w:lvl w:ilvl="0" w:tplc="A93CE3E4">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DC2D22"/>
    <w:multiLevelType w:val="hybridMultilevel"/>
    <w:tmpl w:val="5FAC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3387D"/>
    <w:multiLevelType w:val="hybridMultilevel"/>
    <w:tmpl w:val="BB2CFEDA"/>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25354C"/>
    <w:multiLevelType w:val="hybridMultilevel"/>
    <w:tmpl w:val="3AF677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15490E"/>
    <w:multiLevelType w:val="hybridMultilevel"/>
    <w:tmpl w:val="0A3C08E8"/>
    <w:lvl w:ilvl="0" w:tplc="F9587074">
      <w:start w:val="1"/>
      <w:numFmt w:val="upperRoman"/>
      <w:lvlText w:val="%1)"/>
      <w:lvlJc w:val="left"/>
      <w:pPr>
        <w:ind w:left="1077" w:hanging="720"/>
      </w:pPr>
      <w:rPr>
        <w:rFonts w:hint="default"/>
        <w:b/>
        <w:sz w:val="22"/>
        <w:szCs w:val="22"/>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0D24605B"/>
    <w:multiLevelType w:val="hybridMultilevel"/>
    <w:tmpl w:val="A59A81C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6352D"/>
    <w:multiLevelType w:val="hybridMultilevel"/>
    <w:tmpl w:val="36CCACE8"/>
    <w:lvl w:ilvl="0" w:tplc="C0647242">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845C29"/>
    <w:multiLevelType w:val="hybridMultilevel"/>
    <w:tmpl w:val="CAFCBA0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C414B3"/>
    <w:multiLevelType w:val="hybridMultilevel"/>
    <w:tmpl w:val="609243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B1CB6"/>
    <w:multiLevelType w:val="hybridMultilevel"/>
    <w:tmpl w:val="2E26E2B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8641E8"/>
    <w:multiLevelType w:val="hybridMultilevel"/>
    <w:tmpl w:val="2C9A977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9">
      <w:start w:val="1"/>
      <w:numFmt w:val="bullet"/>
      <w:lvlText w:val=""/>
      <w:lvlJc w:val="left"/>
      <w:pPr>
        <w:ind w:left="3600" w:hanging="360"/>
      </w:pPr>
      <w:rPr>
        <w:rFonts w:ascii="Wingdings" w:hAnsi="Wingdings"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2BE3240"/>
    <w:multiLevelType w:val="multilevel"/>
    <w:tmpl w:val="1A104784"/>
    <w:lvl w:ilvl="0">
      <w:start w:val="1"/>
      <w:numFmt w:val="decimal"/>
      <w:lvlText w:val="%1."/>
      <w:lvlJc w:val="left"/>
      <w:pPr>
        <w:ind w:left="717" w:hanging="360"/>
      </w:pPr>
      <w:rPr>
        <w:rFonts w:hint="default"/>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4" w15:restartNumberingAfterBreak="0">
    <w:nsid w:val="131F33DF"/>
    <w:multiLevelType w:val="hybridMultilevel"/>
    <w:tmpl w:val="61AEBA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637B34"/>
    <w:multiLevelType w:val="hybridMultilevel"/>
    <w:tmpl w:val="91D2BBF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E429A5"/>
    <w:multiLevelType w:val="multilevel"/>
    <w:tmpl w:val="5338EC88"/>
    <w:lvl w:ilvl="0">
      <w:start w:val="1"/>
      <w:numFmt w:val="bullet"/>
      <w:lvlText w:val=""/>
      <w:lvlJc w:val="left"/>
      <w:pPr>
        <w:ind w:left="717" w:hanging="360"/>
      </w:pPr>
      <w:rPr>
        <w:rFonts w:ascii="Wingdings" w:hAnsi="Wingdings" w:hint="default"/>
        <w:sz w:val="18"/>
        <w:szCs w:val="18"/>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7" w15:restartNumberingAfterBreak="0">
    <w:nsid w:val="16352FD9"/>
    <w:multiLevelType w:val="multilevel"/>
    <w:tmpl w:val="D52A3C1A"/>
    <w:lvl w:ilvl="0">
      <w:start w:val="1"/>
      <w:numFmt w:val="bullet"/>
      <w:lvlText w:val=""/>
      <w:lvlJc w:val="left"/>
      <w:pPr>
        <w:ind w:left="717" w:hanging="360"/>
      </w:pPr>
      <w:rPr>
        <w:rFonts w:ascii="Wingdings" w:hAnsi="Wingdings" w:hint="default"/>
        <w:sz w:val="18"/>
        <w:szCs w:val="18"/>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8" w15:restartNumberingAfterBreak="0">
    <w:nsid w:val="18227FAA"/>
    <w:multiLevelType w:val="hybridMultilevel"/>
    <w:tmpl w:val="D074AA66"/>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93A0986"/>
    <w:multiLevelType w:val="hybridMultilevel"/>
    <w:tmpl w:val="189A1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B456C38"/>
    <w:multiLevelType w:val="hybridMultilevel"/>
    <w:tmpl w:val="212E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CE37214"/>
    <w:multiLevelType w:val="hybridMultilevel"/>
    <w:tmpl w:val="709A46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D7668E7"/>
    <w:multiLevelType w:val="hybridMultilevel"/>
    <w:tmpl w:val="6E5AE40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E460791"/>
    <w:multiLevelType w:val="hybridMultilevel"/>
    <w:tmpl w:val="CE22AD9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64194F"/>
    <w:multiLevelType w:val="hybridMultilevel"/>
    <w:tmpl w:val="B66AA932"/>
    <w:lvl w:ilvl="0" w:tplc="91CA99E2">
      <w:start w:val="2"/>
      <w:numFmt w:val="bullet"/>
      <w:pStyle w:val="VIETACUADRO"/>
      <w:lvlText w:val=""/>
      <w:lvlJc w:val="left"/>
      <w:pPr>
        <w:ind w:left="1434" w:hanging="360"/>
      </w:pPr>
      <w:rPr>
        <w:rFonts w:ascii="Wingdings" w:hAnsi="Wingdings" w:cs="Times New Roman" w:hint="default"/>
        <w:b/>
        <w:i w:val="0"/>
        <w:sz w:val="16"/>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5" w15:restartNumberingAfterBreak="0">
    <w:nsid w:val="230B2747"/>
    <w:multiLevelType w:val="hybridMultilevel"/>
    <w:tmpl w:val="F63C013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2438348E"/>
    <w:multiLevelType w:val="hybridMultilevel"/>
    <w:tmpl w:val="EA0A2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4CF4E75"/>
    <w:multiLevelType w:val="hybridMultilevel"/>
    <w:tmpl w:val="D6062B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76869BA"/>
    <w:multiLevelType w:val="hybridMultilevel"/>
    <w:tmpl w:val="A58EAD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7860B8A"/>
    <w:multiLevelType w:val="hybridMultilevel"/>
    <w:tmpl w:val="7204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F3583B"/>
    <w:multiLevelType w:val="hybridMultilevel"/>
    <w:tmpl w:val="11902450"/>
    <w:lvl w:ilvl="0" w:tplc="8CC28E3A">
      <w:start w:val="2"/>
      <w:numFmt w:val="bullet"/>
      <w:pStyle w:val="VIETABALA"/>
      <w:lvlText w:val=""/>
      <w:lvlJc w:val="left"/>
      <w:pPr>
        <w:ind w:left="1077" w:hanging="360"/>
      </w:pPr>
      <w:rPr>
        <w:rFonts w:ascii="Symbol" w:hAnsi="Symbol" w:cs="Times New Roman" w:hint="default"/>
        <w:b/>
        <w:i w:val="0"/>
        <w:sz w:val="16"/>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1" w15:restartNumberingAfterBreak="0">
    <w:nsid w:val="2BC553B9"/>
    <w:multiLevelType w:val="hybridMultilevel"/>
    <w:tmpl w:val="376CB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E0F2AA8"/>
    <w:multiLevelType w:val="hybridMultilevel"/>
    <w:tmpl w:val="BA8E8D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F7C61C6"/>
    <w:multiLevelType w:val="hybridMultilevel"/>
    <w:tmpl w:val="BD725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FBA3004"/>
    <w:multiLevelType w:val="hybridMultilevel"/>
    <w:tmpl w:val="88FE075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301F5CA4"/>
    <w:multiLevelType w:val="hybridMultilevel"/>
    <w:tmpl w:val="74BCD06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312E778C"/>
    <w:multiLevelType w:val="hybridMultilevel"/>
    <w:tmpl w:val="2D6296A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1DD1D59"/>
    <w:multiLevelType w:val="hybridMultilevel"/>
    <w:tmpl w:val="330E192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2BC0877"/>
    <w:multiLevelType w:val="hybridMultilevel"/>
    <w:tmpl w:val="493298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8570E68"/>
    <w:multiLevelType w:val="hybridMultilevel"/>
    <w:tmpl w:val="C9BE1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8EB3E1C"/>
    <w:multiLevelType w:val="hybridMultilevel"/>
    <w:tmpl w:val="F078F5D8"/>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1" w15:restartNumberingAfterBreak="0">
    <w:nsid w:val="39B16DB7"/>
    <w:multiLevelType w:val="hybridMultilevel"/>
    <w:tmpl w:val="C36A594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2" w15:restartNumberingAfterBreak="0">
    <w:nsid w:val="3BCC4756"/>
    <w:multiLevelType w:val="hybridMultilevel"/>
    <w:tmpl w:val="00AAEF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E7F60AD"/>
    <w:multiLevelType w:val="hybridMultilevel"/>
    <w:tmpl w:val="0BF658BE"/>
    <w:lvl w:ilvl="0" w:tplc="080A000B">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44" w15:restartNumberingAfterBreak="0">
    <w:nsid w:val="40B943E9"/>
    <w:multiLevelType w:val="hybridMultilevel"/>
    <w:tmpl w:val="E9645D0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43E67FDB"/>
    <w:multiLevelType w:val="hybridMultilevel"/>
    <w:tmpl w:val="8BA83A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4A1165F"/>
    <w:multiLevelType w:val="hybridMultilevel"/>
    <w:tmpl w:val="E57207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78A4864"/>
    <w:multiLevelType w:val="hybridMultilevel"/>
    <w:tmpl w:val="D7184F5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7FF490C"/>
    <w:multiLevelType w:val="hybridMultilevel"/>
    <w:tmpl w:val="CF9E99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8E24E81"/>
    <w:multiLevelType w:val="hybridMultilevel"/>
    <w:tmpl w:val="A2647778"/>
    <w:lvl w:ilvl="0" w:tplc="CDEEC7EC">
      <w:start w:val="1"/>
      <w:numFmt w:val="lowerLetter"/>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8F64EB4"/>
    <w:multiLevelType w:val="hybridMultilevel"/>
    <w:tmpl w:val="3DDED8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94F30DF"/>
    <w:multiLevelType w:val="hybridMultilevel"/>
    <w:tmpl w:val="51EC1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FA2B8C"/>
    <w:multiLevelType w:val="hybridMultilevel"/>
    <w:tmpl w:val="CB5C360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BC76424"/>
    <w:multiLevelType w:val="hybridMultilevel"/>
    <w:tmpl w:val="EFD8EE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C6D25B6"/>
    <w:multiLevelType w:val="hybridMultilevel"/>
    <w:tmpl w:val="EDD82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E0B3307"/>
    <w:multiLevelType w:val="hybridMultilevel"/>
    <w:tmpl w:val="AA982DF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E5E1FEE"/>
    <w:multiLevelType w:val="hybridMultilevel"/>
    <w:tmpl w:val="65F2721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4E6E2743"/>
    <w:multiLevelType w:val="hybridMultilevel"/>
    <w:tmpl w:val="FFBA139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F4430E0"/>
    <w:multiLevelType w:val="hybridMultilevel"/>
    <w:tmpl w:val="70EEF88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027249B"/>
    <w:multiLevelType w:val="hybridMultilevel"/>
    <w:tmpl w:val="EC400C44"/>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15:restartNumberingAfterBreak="0">
    <w:nsid w:val="505166D2"/>
    <w:multiLevelType w:val="hybridMultilevel"/>
    <w:tmpl w:val="C744F3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10D2D3B"/>
    <w:multiLevelType w:val="hybridMultilevel"/>
    <w:tmpl w:val="CC00C44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51823A1F"/>
    <w:multiLevelType w:val="hybridMultilevel"/>
    <w:tmpl w:val="0854BF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22F1FAD"/>
    <w:multiLevelType w:val="hybridMultilevel"/>
    <w:tmpl w:val="D1A66B0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3676A0A"/>
    <w:multiLevelType w:val="hybridMultilevel"/>
    <w:tmpl w:val="87F2D9D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7680C47"/>
    <w:multiLevelType w:val="hybridMultilevel"/>
    <w:tmpl w:val="CE263648"/>
    <w:lvl w:ilvl="0" w:tplc="F8102D42">
      <w:start w:val="1"/>
      <w:numFmt w:val="bullet"/>
      <w:pStyle w:val="VIETAROMBO"/>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7F93CB2"/>
    <w:multiLevelType w:val="hybridMultilevel"/>
    <w:tmpl w:val="DA98AC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99D18EC"/>
    <w:multiLevelType w:val="hybridMultilevel"/>
    <w:tmpl w:val="B9E03A3A"/>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5AFF1F3A"/>
    <w:multiLevelType w:val="hybridMultilevel"/>
    <w:tmpl w:val="6B94AAE6"/>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B2F6163"/>
    <w:multiLevelType w:val="hybridMultilevel"/>
    <w:tmpl w:val="10FA8A34"/>
    <w:lvl w:ilvl="0" w:tplc="852A428A">
      <w:start w:val="1"/>
      <w:numFmt w:val="bullet"/>
      <w:pStyle w:val="VIETAFLECHA"/>
      <w:lvlText w:val=""/>
      <w:lvlJc w:val="left"/>
      <w:pPr>
        <w:ind w:left="720" w:hanging="360"/>
      </w:pPr>
      <w:rPr>
        <w:rFonts w:ascii="Wingdings" w:hAnsi="Wingdings" w:hint="default"/>
        <w:b/>
        <w:i w:val="0"/>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D194603"/>
    <w:multiLevelType w:val="hybridMultilevel"/>
    <w:tmpl w:val="42FE8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FB43E43"/>
    <w:multiLevelType w:val="hybridMultilevel"/>
    <w:tmpl w:val="8DF0ADA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17A510B"/>
    <w:multiLevelType w:val="hybridMultilevel"/>
    <w:tmpl w:val="C6A672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3A6181E"/>
    <w:multiLevelType w:val="hybridMultilevel"/>
    <w:tmpl w:val="E22AFC6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4" w15:restartNumberingAfterBreak="0">
    <w:nsid w:val="643D368D"/>
    <w:multiLevelType w:val="hybridMultilevel"/>
    <w:tmpl w:val="D69CC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44742DF"/>
    <w:multiLevelType w:val="hybridMultilevel"/>
    <w:tmpl w:val="687CD86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64500EA0"/>
    <w:multiLevelType w:val="hybridMultilevel"/>
    <w:tmpl w:val="A8F0794C"/>
    <w:lvl w:ilvl="0" w:tplc="080A0009">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7" w15:restartNumberingAfterBreak="0">
    <w:nsid w:val="65344F7E"/>
    <w:multiLevelType w:val="hybridMultilevel"/>
    <w:tmpl w:val="BAFE176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8" w15:restartNumberingAfterBreak="0">
    <w:nsid w:val="65C15CDE"/>
    <w:multiLevelType w:val="hybridMultilevel"/>
    <w:tmpl w:val="DFD4739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9565AA3"/>
    <w:multiLevelType w:val="hybridMultilevel"/>
    <w:tmpl w:val="BD4228B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AB27FE8"/>
    <w:multiLevelType w:val="hybridMultilevel"/>
    <w:tmpl w:val="5D40E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AC254CA"/>
    <w:multiLevelType w:val="hybridMultilevel"/>
    <w:tmpl w:val="2D78B7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6B2710A1"/>
    <w:multiLevelType w:val="hybridMultilevel"/>
    <w:tmpl w:val="3B1283D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C0C483C"/>
    <w:multiLevelType w:val="hybridMultilevel"/>
    <w:tmpl w:val="F1864B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EB72C4D"/>
    <w:multiLevelType w:val="hybridMultilevel"/>
    <w:tmpl w:val="822C3E0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1454210"/>
    <w:multiLevelType w:val="hybridMultilevel"/>
    <w:tmpl w:val="64EC11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71650B3C"/>
    <w:multiLevelType w:val="hybridMultilevel"/>
    <w:tmpl w:val="44C6DF6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7" w15:restartNumberingAfterBreak="0">
    <w:nsid w:val="71E11907"/>
    <w:multiLevelType w:val="hybridMultilevel"/>
    <w:tmpl w:val="90F0DFA6"/>
    <w:lvl w:ilvl="0" w:tplc="765E619E">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2B12FC8"/>
    <w:multiLevelType w:val="hybridMultilevel"/>
    <w:tmpl w:val="B10A7E9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4EF4D74"/>
    <w:multiLevelType w:val="hybridMultilevel"/>
    <w:tmpl w:val="26560B5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5812C6F"/>
    <w:multiLevelType w:val="hybridMultilevel"/>
    <w:tmpl w:val="BF828E0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671238F"/>
    <w:multiLevelType w:val="hybridMultilevel"/>
    <w:tmpl w:val="9F5058AA"/>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6B4384D"/>
    <w:multiLevelType w:val="hybridMultilevel"/>
    <w:tmpl w:val="5544637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7346487"/>
    <w:multiLevelType w:val="hybridMultilevel"/>
    <w:tmpl w:val="A8789D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7F24A0D"/>
    <w:multiLevelType w:val="hybridMultilevel"/>
    <w:tmpl w:val="4E882F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80B0908"/>
    <w:multiLevelType w:val="hybridMultilevel"/>
    <w:tmpl w:val="63AE72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8FF0EBB"/>
    <w:multiLevelType w:val="hybridMultilevel"/>
    <w:tmpl w:val="B8A406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A637CB1"/>
    <w:multiLevelType w:val="hybridMultilevel"/>
    <w:tmpl w:val="9F4A8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BC741B8"/>
    <w:multiLevelType w:val="hybridMultilevel"/>
    <w:tmpl w:val="E1B8E2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C28661A"/>
    <w:multiLevelType w:val="hybridMultilevel"/>
    <w:tmpl w:val="913C52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C367BDB"/>
    <w:multiLevelType w:val="hybridMultilevel"/>
    <w:tmpl w:val="ADAAF8B4"/>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CDD0618"/>
    <w:multiLevelType w:val="hybridMultilevel"/>
    <w:tmpl w:val="3DC62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7D0B536B"/>
    <w:multiLevelType w:val="hybridMultilevel"/>
    <w:tmpl w:val="101072BE"/>
    <w:lvl w:ilvl="0" w:tplc="7AA0C73C">
      <w:start w:val="1"/>
      <w:numFmt w:val="bullet"/>
      <w:lvlText w:val=""/>
      <w:lvlJc w:val="left"/>
      <w:pPr>
        <w:ind w:left="1434" w:hanging="360"/>
      </w:pPr>
      <w:rPr>
        <w:rFonts w:ascii="Symbol" w:hAnsi="Symbol" w:hint="default"/>
        <w:sz w:val="18"/>
        <w:szCs w:val="18"/>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03" w15:restartNumberingAfterBreak="0">
    <w:nsid w:val="7F6473C5"/>
    <w:multiLevelType w:val="hybridMultilevel"/>
    <w:tmpl w:val="5A62B72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004579190">
    <w:abstractNumId w:val="69"/>
  </w:num>
  <w:num w:numId="2" w16cid:durableId="283117034">
    <w:abstractNumId w:val="65"/>
  </w:num>
  <w:num w:numId="3" w16cid:durableId="1671717153">
    <w:abstractNumId w:val="30"/>
  </w:num>
  <w:num w:numId="4" w16cid:durableId="1517888841">
    <w:abstractNumId w:val="24"/>
  </w:num>
  <w:num w:numId="5" w16cid:durableId="110249969">
    <w:abstractNumId w:val="32"/>
  </w:num>
  <w:num w:numId="6" w16cid:durableId="1089498189">
    <w:abstractNumId w:val="6"/>
  </w:num>
  <w:num w:numId="7" w16cid:durableId="1943225624">
    <w:abstractNumId w:val="76"/>
  </w:num>
  <w:num w:numId="8" w16cid:durableId="786774312">
    <w:abstractNumId w:val="14"/>
  </w:num>
  <w:num w:numId="9" w16cid:durableId="1233200955">
    <w:abstractNumId w:val="13"/>
  </w:num>
  <w:num w:numId="10" w16cid:durableId="111285697">
    <w:abstractNumId w:val="43"/>
  </w:num>
  <w:num w:numId="11" w16cid:durableId="529341452">
    <w:abstractNumId w:val="2"/>
  </w:num>
  <w:num w:numId="12" w16cid:durableId="1337197337">
    <w:abstractNumId w:val="8"/>
  </w:num>
  <w:num w:numId="13" w16cid:durableId="1855342147">
    <w:abstractNumId w:val="101"/>
  </w:num>
  <w:num w:numId="14" w16cid:durableId="374282910">
    <w:abstractNumId w:val="102"/>
  </w:num>
  <w:num w:numId="15" w16cid:durableId="2107655673">
    <w:abstractNumId w:val="90"/>
  </w:num>
  <w:num w:numId="16" w16cid:durableId="1806385866">
    <w:abstractNumId w:val="46"/>
  </w:num>
  <w:num w:numId="17" w16cid:durableId="381172457">
    <w:abstractNumId w:val="66"/>
  </w:num>
  <w:num w:numId="18" w16cid:durableId="1316688743">
    <w:abstractNumId w:val="39"/>
  </w:num>
  <w:num w:numId="19" w16cid:durableId="1539583760">
    <w:abstractNumId w:val="97"/>
  </w:num>
  <w:num w:numId="20" w16cid:durableId="1130826386">
    <w:abstractNumId w:val="0"/>
  </w:num>
  <w:num w:numId="21" w16cid:durableId="1523744706">
    <w:abstractNumId w:val="33"/>
  </w:num>
  <w:num w:numId="22" w16cid:durableId="1067340079">
    <w:abstractNumId w:val="87"/>
  </w:num>
  <w:num w:numId="23" w16cid:durableId="1359891990">
    <w:abstractNumId w:val="16"/>
  </w:num>
  <w:num w:numId="24" w16cid:durableId="698161751">
    <w:abstractNumId w:val="60"/>
  </w:num>
  <w:num w:numId="25" w16cid:durableId="1471022991">
    <w:abstractNumId w:val="72"/>
  </w:num>
  <w:num w:numId="26" w16cid:durableId="627928505">
    <w:abstractNumId w:val="95"/>
  </w:num>
  <w:num w:numId="27" w16cid:durableId="631255245">
    <w:abstractNumId w:val="5"/>
  </w:num>
  <w:num w:numId="28" w16cid:durableId="336079041">
    <w:abstractNumId w:val="28"/>
  </w:num>
  <w:num w:numId="29" w16cid:durableId="641694222">
    <w:abstractNumId w:val="10"/>
  </w:num>
  <w:num w:numId="30" w16cid:durableId="2008173571">
    <w:abstractNumId w:val="85"/>
  </w:num>
  <w:num w:numId="31" w16cid:durableId="2055619846">
    <w:abstractNumId w:val="48"/>
  </w:num>
  <w:num w:numId="32" w16cid:durableId="1543857810">
    <w:abstractNumId w:val="21"/>
  </w:num>
  <w:num w:numId="33" w16cid:durableId="1796095828">
    <w:abstractNumId w:val="94"/>
  </w:num>
  <w:num w:numId="34" w16cid:durableId="1240602791">
    <w:abstractNumId w:val="45"/>
  </w:num>
  <w:num w:numId="35" w16cid:durableId="1181777564">
    <w:abstractNumId w:val="62"/>
  </w:num>
  <w:num w:numId="36" w16cid:durableId="1671253410">
    <w:abstractNumId w:val="27"/>
  </w:num>
  <w:num w:numId="37" w16cid:durableId="2079815793">
    <w:abstractNumId w:val="38"/>
  </w:num>
  <w:num w:numId="38" w16cid:durableId="2020934562">
    <w:abstractNumId w:val="74"/>
  </w:num>
  <w:num w:numId="39" w16cid:durableId="1305045087">
    <w:abstractNumId w:val="36"/>
  </w:num>
  <w:num w:numId="40" w16cid:durableId="818769487">
    <w:abstractNumId w:val="77"/>
  </w:num>
  <w:num w:numId="41" w16cid:durableId="890338197">
    <w:abstractNumId w:val="3"/>
  </w:num>
  <w:num w:numId="42" w16cid:durableId="553665241">
    <w:abstractNumId w:val="61"/>
  </w:num>
  <w:num w:numId="43" w16cid:durableId="689642811">
    <w:abstractNumId w:val="52"/>
  </w:num>
  <w:num w:numId="44" w16cid:durableId="74060877">
    <w:abstractNumId w:val="56"/>
  </w:num>
  <w:num w:numId="45" w16cid:durableId="191042469">
    <w:abstractNumId w:val="4"/>
  </w:num>
  <w:num w:numId="46" w16cid:durableId="1026294053">
    <w:abstractNumId w:val="18"/>
  </w:num>
  <w:num w:numId="47" w16cid:durableId="1363628084">
    <w:abstractNumId w:val="103"/>
  </w:num>
  <w:num w:numId="48" w16cid:durableId="1200628917">
    <w:abstractNumId w:val="67"/>
  </w:num>
  <w:num w:numId="49" w16cid:durableId="1026833356">
    <w:abstractNumId w:val="34"/>
  </w:num>
  <w:num w:numId="50" w16cid:durableId="235212165">
    <w:abstractNumId w:val="50"/>
  </w:num>
  <w:num w:numId="51" w16cid:durableId="984119735">
    <w:abstractNumId w:val="93"/>
  </w:num>
  <w:num w:numId="52" w16cid:durableId="1080058731">
    <w:abstractNumId w:val="19"/>
  </w:num>
  <w:num w:numId="53" w16cid:durableId="1206869201">
    <w:abstractNumId w:val="51"/>
  </w:num>
  <w:num w:numId="54" w16cid:durableId="1796605679">
    <w:abstractNumId w:val="98"/>
  </w:num>
  <w:num w:numId="55" w16cid:durableId="2081711946">
    <w:abstractNumId w:val="100"/>
  </w:num>
  <w:num w:numId="56" w16cid:durableId="945843691">
    <w:abstractNumId w:val="81"/>
  </w:num>
  <w:num w:numId="57" w16cid:durableId="666589791">
    <w:abstractNumId w:val="31"/>
  </w:num>
  <w:num w:numId="58" w16cid:durableId="583299115">
    <w:abstractNumId w:val="42"/>
  </w:num>
  <w:num w:numId="59" w16cid:durableId="1942712968">
    <w:abstractNumId w:val="22"/>
  </w:num>
  <w:num w:numId="60" w16cid:durableId="1260485581">
    <w:abstractNumId w:val="73"/>
  </w:num>
  <w:num w:numId="61" w16cid:durableId="604070807">
    <w:abstractNumId w:val="12"/>
  </w:num>
  <w:num w:numId="62" w16cid:durableId="1314482670">
    <w:abstractNumId w:val="44"/>
  </w:num>
  <w:num w:numId="63" w16cid:durableId="416170788">
    <w:abstractNumId w:val="64"/>
  </w:num>
  <w:num w:numId="64" w16cid:durableId="1697610595">
    <w:abstractNumId w:val="1"/>
  </w:num>
  <w:num w:numId="65" w16cid:durableId="576324036">
    <w:abstractNumId w:val="75"/>
  </w:num>
  <w:num w:numId="66" w16cid:durableId="249851109">
    <w:abstractNumId w:val="59"/>
  </w:num>
  <w:num w:numId="67" w16cid:durableId="1776094644">
    <w:abstractNumId w:val="63"/>
  </w:num>
  <w:num w:numId="68" w16cid:durableId="1661233738">
    <w:abstractNumId w:val="25"/>
  </w:num>
  <w:num w:numId="69" w16cid:durableId="1517841850">
    <w:abstractNumId w:val="47"/>
  </w:num>
  <w:num w:numId="70" w16cid:durableId="1299343102">
    <w:abstractNumId w:val="20"/>
  </w:num>
  <w:num w:numId="71" w16cid:durableId="613290533">
    <w:abstractNumId w:val="79"/>
  </w:num>
  <w:num w:numId="72" w16cid:durableId="1759984299">
    <w:abstractNumId w:val="71"/>
  </w:num>
  <w:num w:numId="73" w16cid:durableId="1199929926">
    <w:abstractNumId w:val="37"/>
  </w:num>
  <w:num w:numId="74" w16cid:durableId="1620641455">
    <w:abstractNumId w:val="89"/>
  </w:num>
  <w:num w:numId="75" w16cid:durableId="914902676">
    <w:abstractNumId w:val="23"/>
  </w:num>
  <w:num w:numId="76" w16cid:durableId="292323015">
    <w:abstractNumId w:val="80"/>
  </w:num>
  <w:num w:numId="77" w16cid:durableId="906377289">
    <w:abstractNumId w:val="41"/>
  </w:num>
  <w:num w:numId="78" w16cid:durableId="1853953870">
    <w:abstractNumId w:val="68"/>
  </w:num>
  <w:num w:numId="79" w16cid:durableId="640889560">
    <w:abstractNumId w:val="11"/>
  </w:num>
  <w:num w:numId="80" w16cid:durableId="1789932306">
    <w:abstractNumId w:val="88"/>
  </w:num>
  <w:num w:numId="81" w16cid:durableId="327177490">
    <w:abstractNumId w:val="91"/>
  </w:num>
  <w:num w:numId="82" w16cid:durableId="1247570954">
    <w:abstractNumId w:val="55"/>
  </w:num>
  <w:num w:numId="83" w16cid:durableId="234248230">
    <w:abstractNumId w:val="58"/>
  </w:num>
  <w:num w:numId="84" w16cid:durableId="1113591803">
    <w:abstractNumId w:val="82"/>
  </w:num>
  <w:num w:numId="85" w16cid:durableId="102577114">
    <w:abstractNumId w:val="57"/>
  </w:num>
  <w:num w:numId="86" w16cid:durableId="2146191452">
    <w:abstractNumId w:val="70"/>
  </w:num>
  <w:num w:numId="87" w16cid:durableId="1667708847">
    <w:abstractNumId w:val="92"/>
  </w:num>
  <w:num w:numId="88" w16cid:durableId="2133590663">
    <w:abstractNumId w:val="35"/>
  </w:num>
  <w:num w:numId="89" w16cid:durableId="801195328">
    <w:abstractNumId w:val="26"/>
  </w:num>
  <w:num w:numId="90" w16cid:durableId="1822648390">
    <w:abstractNumId w:val="84"/>
  </w:num>
  <w:num w:numId="91" w16cid:durableId="242881046">
    <w:abstractNumId w:val="99"/>
  </w:num>
  <w:num w:numId="92" w16cid:durableId="1939287102">
    <w:abstractNumId w:val="9"/>
  </w:num>
  <w:num w:numId="93" w16cid:durableId="2036999377">
    <w:abstractNumId w:val="7"/>
  </w:num>
  <w:num w:numId="94" w16cid:durableId="1259288439">
    <w:abstractNumId w:val="96"/>
  </w:num>
  <w:num w:numId="95" w16cid:durableId="1673029310">
    <w:abstractNumId w:val="15"/>
  </w:num>
  <w:num w:numId="96" w16cid:durableId="673605902">
    <w:abstractNumId w:val="40"/>
  </w:num>
  <w:num w:numId="97" w16cid:durableId="275214160">
    <w:abstractNumId w:val="53"/>
  </w:num>
  <w:num w:numId="98" w16cid:durableId="1830167899">
    <w:abstractNumId w:val="83"/>
  </w:num>
  <w:num w:numId="99" w16cid:durableId="560292159">
    <w:abstractNumId w:val="29"/>
  </w:num>
  <w:num w:numId="100" w16cid:durableId="396437025">
    <w:abstractNumId w:val="54"/>
  </w:num>
  <w:num w:numId="101" w16cid:durableId="176119531">
    <w:abstractNumId w:val="78"/>
  </w:num>
  <w:num w:numId="102" w16cid:durableId="1816874760">
    <w:abstractNumId w:val="86"/>
  </w:num>
  <w:num w:numId="103" w16cid:durableId="747846795">
    <w:abstractNumId w:val="17"/>
  </w:num>
  <w:num w:numId="104" w16cid:durableId="2020424373">
    <w:abstractNumId w:val="4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1D"/>
    <w:rsid w:val="00001AF5"/>
    <w:rsid w:val="000106CC"/>
    <w:rsid w:val="00015FB7"/>
    <w:rsid w:val="000176D2"/>
    <w:rsid w:val="000221DF"/>
    <w:rsid w:val="0002263B"/>
    <w:rsid w:val="000232A5"/>
    <w:rsid w:val="0002360D"/>
    <w:rsid w:val="000237F6"/>
    <w:rsid w:val="00023F71"/>
    <w:rsid w:val="00025669"/>
    <w:rsid w:val="0003254A"/>
    <w:rsid w:val="0003454B"/>
    <w:rsid w:val="00035E5B"/>
    <w:rsid w:val="00037879"/>
    <w:rsid w:val="00037EE7"/>
    <w:rsid w:val="00043ABA"/>
    <w:rsid w:val="00044795"/>
    <w:rsid w:val="00045451"/>
    <w:rsid w:val="00047583"/>
    <w:rsid w:val="00047715"/>
    <w:rsid w:val="00050137"/>
    <w:rsid w:val="0005076C"/>
    <w:rsid w:val="0005516C"/>
    <w:rsid w:val="00056296"/>
    <w:rsid w:val="00057556"/>
    <w:rsid w:val="000620DC"/>
    <w:rsid w:val="000678ED"/>
    <w:rsid w:val="0007315D"/>
    <w:rsid w:val="0007363C"/>
    <w:rsid w:val="0007469A"/>
    <w:rsid w:val="00076658"/>
    <w:rsid w:val="00077F9D"/>
    <w:rsid w:val="00080877"/>
    <w:rsid w:val="00081395"/>
    <w:rsid w:val="00081A4E"/>
    <w:rsid w:val="0008446C"/>
    <w:rsid w:val="000853EA"/>
    <w:rsid w:val="00087C80"/>
    <w:rsid w:val="00090C09"/>
    <w:rsid w:val="00092317"/>
    <w:rsid w:val="00092CA5"/>
    <w:rsid w:val="00093155"/>
    <w:rsid w:val="00095D9E"/>
    <w:rsid w:val="000969DF"/>
    <w:rsid w:val="000973C0"/>
    <w:rsid w:val="00097623"/>
    <w:rsid w:val="00097849"/>
    <w:rsid w:val="00097880"/>
    <w:rsid w:val="000A46D3"/>
    <w:rsid w:val="000A491D"/>
    <w:rsid w:val="000A4D40"/>
    <w:rsid w:val="000B0DE6"/>
    <w:rsid w:val="000B180F"/>
    <w:rsid w:val="000B2CFF"/>
    <w:rsid w:val="000B3585"/>
    <w:rsid w:val="000B35C1"/>
    <w:rsid w:val="000B4586"/>
    <w:rsid w:val="000B5821"/>
    <w:rsid w:val="000C128C"/>
    <w:rsid w:val="000C47A3"/>
    <w:rsid w:val="000C5AC4"/>
    <w:rsid w:val="000D2EC7"/>
    <w:rsid w:val="000D3FC1"/>
    <w:rsid w:val="000D4293"/>
    <w:rsid w:val="000D60E6"/>
    <w:rsid w:val="000D6611"/>
    <w:rsid w:val="000E0125"/>
    <w:rsid w:val="000E10E5"/>
    <w:rsid w:val="000E1FD0"/>
    <w:rsid w:val="000E35A1"/>
    <w:rsid w:val="000E4DC6"/>
    <w:rsid w:val="000E5E7A"/>
    <w:rsid w:val="000E62B2"/>
    <w:rsid w:val="000F22A0"/>
    <w:rsid w:val="000F3A1D"/>
    <w:rsid w:val="000F41B3"/>
    <w:rsid w:val="000F480F"/>
    <w:rsid w:val="000F4B32"/>
    <w:rsid w:val="000F4D76"/>
    <w:rsid w:val="001004AB"/>
    <w:rsid w:val="001032FE"/>
    <w:rsid w:val="001128A0"/>
    <w:rsid w:val="00112BEF"/>
    <w:rsid w:val="00113D24"/>
    <w:rsid w:val="0012098F"/>
    <w:rsid w:val="001211DB"/>
    <w:rsid w:val="00121C87"/>
    <w:rsid w:val="0012278E"/>
    <w:rsid w:val="001310A1"/>
    <w:rsid w:val="001313D4"/>
    <w:rsid w:val="00133B02"/>
    <w:rsid w:val="0013657B"/>
    <w:rsid w:val="001366DF"/>
    <w:rsid w:val="00136722"/>
    <w:rsid w:val="00136F1F"/>
    <w:rsid w:val="00141726"/>
    <w:rsid w:val="00141F71"/>
    <w:rsid w:val="00145841"/>
    <w:rsid w:val="0014672E"/>
    <w:rsid w:val="00150E1A"/>
    <w:rsid w:val="00150F78"/>
    <w:rsid w:val="00152212"/>
    <w:rsid w:val="0015592B"/>
    <w:rsid w:val="0015653D"/>
    <w:rsid w:val="00156FD5"/>
    <w:rsid w:val="00161074"/>
    <w:rsid w:val="00163119"/>
    <w:rsid w:val="00163D67"/>
    <w:rsid w:val="00163F9A"/>
    <w:rsid w:val="00171754"/>
    <w:rsid w:val="00171850"/>
    <w:rsid w:val="00173215"/>
    <w:rsid w:val="001733B6"/>
    <w:rsid w:val="00175589"/>
    <w:rsid w:val="00175D53"/>
    <w:rsid w:val="00176AD8"/>
    <w:rsid w:val="00182090"/>
    <w:rsid w:val="00185D2B"/>
    <w:rsid w:val="00185F7C"/>
    <w:rsid w:val="00186227"/>
    <w:rsid w:val="00190892"/>
    <w:rsid w:val="00190BA7"/>
    <w:rsid w:val="00192679"/>
    <w:rsid w:val="0019407D"/>
    <w:rsid w:val="001948C4"/>
    <w:rsid w:val="001977D4"/>
    <w:rsid w:val="001A1A20"/>
    <w:rsid w:val="001A39A4"/>
    <w:rsid w:val="001A4C8F"/>
    <w:rsid w:val="001A5A3E"/>
    <w:rsid w:val="001A6E3D"/>
    <w:rsid w:val="001A7079"/>
    <w:rsid w:val="001B1424"/>
    <w:rsid w:val="001B253F"/>
    <w:rsid w:val="001B48F5"/>
    <w:rsid w:val="001B4E2D"/>
    <w:rsid w:val="001C02A5"/>
    <w:rsid w:val="001C17C0"/>
    <w:rsid w:val="001C2FD5"/>
    <w:rsid w:val="001D1B0E"/>
    <w:rsid w:val="001D1D9F"/>
    <w:rsid w:val="001D42C8"/>
    <w:rsid w:val="001D5448"/>
    <w:rsid w:val="001E073F"/>
    <w:rsid w:val="001E0F76"/>
    <w:rsid w:val="001E70FE"/>
    <w:rsid w:val="001F0B62"/>
    <w:rsid w:val="001F508B"/>
    <w:rsid w:val="0020117C"/>
    <w:rsid w:val="002023D1"/>
    <w:rsid w:val="00202C5D"/>
    <w:rsid w:val="002038A2"/>
    <w:rsid w:val="00203C6D"/>
    <w:rsid w:val="0020655B"/>
    <w:rsid w:val="00211D7C"/>
    <w:rsid w:val="00212FBF"/>
    <w:rsid w:val="0021484F"/>
    <w:rsid w:val="0021668A"/>
    <w:rsid w:val="00217311"/>
    <w:rsid w:val="002204B5"/>
    <w:rsid w:val="002215D6"/>
    <w:rsid w:val="0023001D"/>
    <w:rsid w:val="002319CE"/>
    <w:rsid w:val="00233E38"/>
    <w:rsid w:val="00235DE1"/>
    <w:rsid w:val="00236E14"/>
    <w:rsid w:val="00242FB1"/>
    <w:rsid w:val="002450D9"/>
    <w:rsid w:val="002464EE"/>
    <w:rsid w:val="00246A3C"/>
    <w:rsid w:val="00246AC2"/>
    <w:rsid w:val="002477EA"/>
    <w:rsid w:val="0025059E"/>
    <w:rsid w:val="00253FAD"/>
    <w:rsid w:val="00254C8A"/>
    <w:rsid w:val="00262B5A"/>
    <w:rsid w:val="002652E2"/>
    <w:rsid w:val="002656EA"/>
    <w:rsid w:val="002668B5"/>
    <w:rsid w:val="00266A8F"/>
    <w:rsid w:val="002671DB"/>
    <w:rsid w:val="002709F2"/>
    <w:rsid w:val="00271436"/>
    <w:rsid w:val="0027172B"/>
    <w:rsid w:val="00271C7B"/>
    <w:rsid w:val="00271E65"/>
    <w:rsid w:val="00273C9A"/>
    <w:rsid w:val="00274555"/>
    <w:rsid w:val="00275628"/>
    <w:rsid w:val="00281C8A"/>
    <w:rsid w:val="002865F0"/>
    <w:rsid w:val="0029052A"/>
    <w:rsid w:val="0029109F"/>
    <w:rsid w:val="0029246F"/>
    <w:rsid w:val="00293F88"/>
    <w:rsid w:val="0029440A"/>
    <w:rsid w:val="002A0970"/>
    <w:rsid w:val="002A11C2"/>
    <w:rsid w:val="002A78E6"/>
    <w:rsid w:val="002B165A"/>
    <w:rsid w:val="002B1BF1"/>
    <w:rsid w:val="002B1C92"/>
    <w:rsid w:val="002B3F78"/>
    <w:rsid w:val="002B471D"/>
    <w:rsid w:val="002B568C"/>
    <w:rsid w:val="002B5C20"/>
    <w:rsid w:val="002B7188"/>
    <w:rsid w:val="002C129A"/>
    <w:rsid w:val="002C184F"/>
    <w:rsid w:val="002C2992"/>
    <w:rsid w:val="002C3088"/>
    <w:rsid w:val="002C484A"/>
    <w:rsid w:val="002C5488"/>
    <w:rsid w:val="002C5D8E"/>
    <w:rsid w:val="002C61EF"/>
    <w:rsid w:val="002D0F2D"/>
    <w:rsid w:val="002D151E"/>
    <w:rsid w:val="002D196F"/>
    <w:rsid w:val="002D3A2E"/>
    <w:rsid w:val="002D5A9A"/>
    <w:rsid w:val="002D5AF3"/>
    <w:rsid w:val="002D6935"/>
    <w:rsid w:val="002D7FFA"/>
    <w:rsid w:val="002E0B2F"/>
    <w:rsid w:val="002E196D"/>
    <w:rsid w:val="002E3A5F"/>
    <w:rsid w:val="002F08A0"/>
    <w:rsid w:val="002F0BB3"/>
    <w:rsid w:val="002F5B11"/>
    <w:rsid w:val="002F5B5A"/>
    <w:rsid w:val="002F7E6F"/>
    <w:rsid w:val="0030010A"/>
    <w:rsid w:val="003019E2"/>
    <w:rsid w:val="003020D8"/>
    <w:rsid w:val="0030257A"/>
    <w:rsid w:val="00304931"/>
    <w:rsid w:val="00305AFE"/>
    <w:rsid w:val="00307775"/>
    <w:rsid w:val="00310536"/>
    <w:rsid w:val="00311B76"/>
    <w:rsid w:val="003152C5"/>
    <w:rsid w:val="00316606"/>
    <w:rsid w:val="00320DDE"/>
    <w:rsid w:val="003214F0"/>
    <w:rsid w:val="003218F1"/>
    <w:rsid w:val="003227AD"/>
    <w:rsid w:val="0032345F"/>
    <w:rsid w:val="00323730"/>
    <w:rsid w:val="0032394B"/>
    <w:rsid w:val="003266A5"/>
    <w:rsid w:val="00333DFF"/>
    <w:rsid w:val="003349A7"/>
    <w:rsid w:val="0033572B"/>
    <w:rsid w:val="00335962"/>
    <w:rsid w:val="00335F7F"/>
    <w:rsid w:val="00336C5E"/>
    <w:rsid w:val="0034017B"/>
    <w:rsid w:val="0034386D"/>
    <w:rsid w:val="00345CD7"/>
    <w:rsid w:val="003478BE"/>
    <w:rsid w:val="00350C22"/>
    <w:rsid w:val="00351511"/>
    <w:rsid w:val="00354731"/>
    <w:rsid w:val="00355680"/>
    <w:rsid w:val="00356FB1"/>
    <w:rsid w:val="00360EE3"/>
    <w:rsid w:val="003633D7"/>
    <w:rsid w:val="003678FB"/>
    <w:rsid w:val="00370EE3"/>
    <w:rsid w:val="003711A6"/>
    <w:rsid w:val="0037493D"/>
    <w:rsid w:val="0037494D"/>
    <w:rsid w:val="00374D44"/>
    <w:rsid w:val="00381539"/>
    <w:rsid w:val="0038153E"/>
    <w:rsid w:val="00384B55"/>
    <w:rsid w:val="00385652"/>
    <w:rsid w:val="0039034B"/>
    <w:rsid w:val="00393E12"/>
    <w:rsid w:val="00394381"/>
    <w:rsid w:val="00394A67"/>
    <w:rsid w:val="00394CE4"/>
    <w:rsid w:val="00394F5D"/>
    <w:rsid w:val="003975F6"/>
    <w:rsid w:val="003A0294"/>
    <w:rsid w:val="003A106C"/>
    <w:rsid w:val="003A10B2"/>
    <w:rsid w:val="003A2CB1"/>
    <w:rsid w:val="003A52B3"/>
    <w:rsid w:val="003A70B4"/>
    <w:rsid w:val="003A7FCB"/>
    <w:rsid w:val="003B0195"/>
    <w:rsid w:val="003C1362"/>
    <w:rsid w:val="003C46BC"/>
    <w:rsid w:val="003C4851"/>
    <w:rsid w:val="003C57E5"/>
    <w:rsid w:val="003C6F28"/>
    <w:rsid w:val="003D0EA6"/>
    <w:rsid w:val="003D265D"/>
    <w:rsid w:val="003D662F"/>
    <w:rsid w:val="003D6645"/>
    <w:rsid w:val="003D670F"/>
    <w:rsid w:val="003E0A61"/>
    <w:rsid w:val="003E1113"/>
    <w:rsid w:val="003E202D"/>
    <w:rsid w:val="003E396E"/>
    <w:rsid w:val="003E3975"/>
    <w:rsid w:val="003E7092"/>
    <w:rsid w:val="003F004E"/>
    <w:rsid w:val="003F075D"/>
    <w:rsid w:val="003F2460"/>
    <w:rsid w:val="003F3FE2"/>
    <w:rsid w:val="003F6499"/>
    <w:rsid w:val="003F7303"/>
    <w:rsid w:val="003F7A1C"/>
    <w:rsid w:val="004011F8"/>
    <w:rsid w:val="0040160A"/>
    <w:rsid w:val="00405CA6"/>
    <w:rsid w:val="00406279"/>
    <w:rsid w:val="0041481F"/>
    <w:rsid w:val="004206D6"/>
    <w:rsid w:val="00421EDE"/>
    <w:rsid w:val="0042391B"/>
    <w:rsid w:val="00425A8F"/>
    <w:rsid w:val="004301C0"/>
    <w:rsid w:val="0043174A"/>
    <w:rsid w:val="00431EE5"/>
    <w:rsid w:val="004344C2"/>
    <w:rsid w:val="004344F3"/>
    <w:rsid w:val="004374D2"/>
    <w:rsid w:val="0044035F"/>
    <w:rsid w:val="00440594"/>
    <w:rsid w:val="00443128"/>
    <w:rsid w:val="0044669E"/>
    <w:rsid w:val="00446896"/>
    <w:rsid w:val="00450A54"/>
    <w:rsid w:val="00450E29"/>
    <w:rsid w:val="0045141A"/>
    <w:rsid w:val="004524BE"/>
    <w:rsid w:val="00452D32"/>
    <w:rsid w:val="0045459A"/>
    <w:rsid w:val="0045653C"/>
    <w:rsid w:val="00456FD5"/>
    <w:rsid w:val="004570B7"/>
    <w:rsid w:val="004624BB"/>
    <w:rsid w:val="00463A39"/>
    <w:rsid w:val="00463AB2"/>
    <w:rsid w:val="0046416B"/>
    <w:rsid w:val="00464AFB"/>
    <w:rsid w:val="00466C28"/>
    <w:rsid w:val="00467226"/>
    <w:rsid w:val="004674CE"/>
    <w:rsid w:val="00471032"/>
    <w:rsid w:val="00471C81"/>
    <w:rsid w:val="00472991"/>
    <w:rsid w:val="00473633"/>
    <w:rsid w:val="00474D2B"/>
    <w:rsid w:val="00476BC8"/>
    <w:rsid w:val="00481E2C"/>
    <w:rsid w:val="00482149"/>
    <w:rsid w:val="004902A0"/>
    <w:rsid w:val="00492779"/>
    <w:rsid w:val="00495256"/>
    <w:rsid w:val="00496B3E"/>
    <w:rsid w:val="004A0189"/>
    <w:rsid w:val="004A1B02"/>
    <w:rsid w:val="004A3333"/>
    <w:rsid w:val="004A51FF"/>
    <w:rsid w:val="004A5B2E"/>
    <w:rsid w:val="004B1830"/>
    <w:rsid w:val="004B2A57"/>
    <w:rsid w:val="004B70A2"/>
    <w:rsid w:val="004C0F5A"/>
    <w:rsid w:val="004C1082"/>
    <w:rsid w:val="004C13E1"/>
    <w:rsid w:val="004C3B9A"/>
    <w:rsid w:val="004C5D99"/>
    <w:rsid w:val="004C662A"/>
    <w:rsid w:val="004C72F3"/>
    <w:rsid w:val="004D11F8"/>
    <w:rsid w:val="004D204C"/>
    <w:rsid w:val="004D25BE"/>
    <w:rsid w:val="004D46F1"/>
    <w:rsid w:val="004D5088"/>
    <w:rsid w:val="004D6E64"/>
    <w:rsid w:val="004E0995"/>
    <w:rsid w:val="004E0A10"/>
    <w:rsid w:val="004E205F"/>
    <w:rsid w:val="004E3B8C"/>
    <w:rsid w:val="004E4364"/>
    <w:rsid w:val="004E71C3"/>
    <w:rsid w:val="004E7673"/>
    <w:rsid w:val="004F1887"/>
    <w:rsid w:val="004F24D3"/>
    <w:rsid w:val="004F5CF4"/>
    <w:rsid w:val="004F6EF6"/>
    <w:rsid w:val="004F7202"/>
    <w:rsid w:val="0050209B"/>
    <w:rsid w:val="005047B8"/>
    <w:rsid w:val="00511100"/>
    <w:rsid w:val="005156AD"/>
    <w:rsid w:val="00515CCE"/>
    <w:rsid w:val="00517724"/>
    <w:rsid w:val="0052350A"/>
    <w:rsid w:val="00523D67"/>
    <w:rsid w:val="005252E8"/>
    <w:rsid w:val="00525AA6"/>
    <w:rsid w:val="0053105C"/>
    <w:rsid w:val="00531686"/>
    <w:rsid w:val="00531778"/>
    <w:rsid w:val="005323AB"/>
    <w:rsid w:val="00533500"/>
    <w:rsid w:val="00533F46"/>
    <w:rsid w:val="00534108"/>
    <w:rsid w:val="005352BF"/>
    <w:rsid w:val="0053602A"/>
    <w:rsid w:val="005361DA"/>
    <w:rsid w:val="005378B8"/>
    <w:rsid w:val="00540B50"/>
    <w:rsid w:val="00540C4C"/>
    <w:rsid w:val="00542B3C"/>
    <w:rsid w:val="00545456"/>
    <w:rsid w:val="00546FDB"/>
    <w:rsid w:val="0055396D"/>
    <w:rsid w:val="00553EE1"/>
    <w:rsid w:val="00554EAC"/>
    <w:rsid w:val="005661CC"/>
    <w:rsid w:val="00566B51"/>
    <w:rsid w:val="0057332A"/>
    <w:rsid w:val="005756F4"/>
    <w:rsid w:val="005757FD"/>
    <w:rsid w:val="005760D0"/>
    <w:rsid w:val="005832C1"/>
    <w:rsid w:val="00587BB8"/>
    <w:rsid w:val="00592DD1"/>
    <w:rsid w:val="00593514"/>
    <w:rsid w:val="00594608"/>
    <w:rsid w:val="005962BC"/>
    <w:rsid w:val="00596F9F"/>
    <w:rsid w:val="005A1FDC"/>
    <w:rsid w:val="005A74F5"/>
    <w:rsid w:val="005A76A8"/>
    <w:rsid w:val="005A77E2"/>
    <w:rsid w:val="005B08A6"/>
    <w:rsid w:val="005B38F2"/>
    <w:rsid w:val="005B44AB"/>
    <w:rsid w:val="005B527B"/>
    <w:rsid w:val="005B633B"/>
    <w:rsid w:val="005B64C5"/>
    <w:rsid w:val="005C1F8E"/>
    <w:rsid w:val="005C4D81"/>
    <w:rsid w:val="005C6BC3"/>
    <w:rsid w:val="005C7714"/>
    <w:rsid w:val="005D0AAE"/>
    <w:rsid w:val="005D0B3C"/>
    <w:rsid w:val="005D0C96"/>
    <w:rsid w:val="005D77F0"/>
    <w:rsid w:val="005E2D48"/>
    <w:rsid w:val="005F136D"/>
    <w:rsid w:val="005F22A6"/>
    <w:rsid w:val="005F5FF0"/>
    <w:rsid w:val="0060064A"/>
    <w:rsid w:val="00601A8C"/>
    <w:rsid w:val="00601CD5"/>
    <w:rsid w:val="00604FCC"/>
    <w:rsid w:val="006112B6"/>
    <w:rsid w:val="00612DCD"/>
    <w:rsid w:val="006143BD"/>
    <w:rsid w:val="00616ECA"/>
    <w:rsid w:val="00620F8D"/>
    <w:rsid w:val="0062102B"/>
    <w:rsid w:val="00621710"/>
    <w:rsid w:val="006236C1"/>
    <w:rsid w:val="006258C3"/>
    <w:rsid w:val="00625C16"/>
    <w:rsid w:val="00626CF2"/>
    <w:rsid w:val="00636640"/>
    <w:rsid w:val="00637134"/>
    <w:rsid w:val="006433D5"/>
    <w:rsid w:val="00644796"/>
    <w:rsid w:val="00644CC5"/>
    <w:rsid w:val="006459A4"/>
    <w:rsid w:val="006459B0"/>
    <w:rsid w:val="006460BE"/>
    <w:rsid w:val="0064686A"/>
    <w:rsid w:val="006473A0"/>
    <w:rsid w:val="00650E3E"/>
    <w:rsid w:val="006544E1"/>
    <w:rsid w:val="006557E2"/>
    <w:rsid w:val="00655E4E"/>
    <w:rsid w:val="00656245"/>
    <w:rsid w:val="00660031"/>
    <w:rsid w:val="00662699"/>
    <w:rsid w:val="0066285D"/>
    <w:rsid w:val="00662C8C"/>
    <w:rsid w:val="00662F6C"/>
    <w:rsid w:val="00665CBD"/>
    <w:rsid w:val="00665FA4"/>
    <w:rsid w:val="0066638C"/>
    <w:rsid w:val="0066669D"/>
    <w:rsid w:val="0067275A"/>
    <w:rsid w:val="00674B04"/>
    <w:rsid w:val="006758DC"/>
    <w:rsid w:val="00680C82"/>
    <w:rsid w:val="00681D3F"/>
    <w:rsid w:val="00683258"/>
    <w:rsid w:val="00683D69"/>
    <w:rsid w:val="00685DF9"/>
    <w:rsid w:val="006903A4"/>
    <w:rsid w:val="00690448"/>
    <w:rsid w:val="006954EE"/>
    <w:rsid w:val="00697923"/>
    <w:rsid w:val="006A01D6"/>
    <w:rsid w:val="006A1184"/>
    <w:rsid w:val="006A5914"/>
    <w:rsid w:val="006A5F0E"/>
    <w:rsid w:val="006B0179"/>
    <w:rsid w:val="006B0264"/>
    <w:rsid w:val="006B1414"/>
    <w:rsid w:val="006B5F58"/>
    <w:rsid w:val="006B68D9"/>
    <w:rsid w:val="006C0828"/>
    <w:rsid w:val="006C371F"/>
    <w:rsid w:val="006C4C13"/>
    <w:rsid w:val="006C6B52"/>
    <w:rsid w:val="006D2597"/>
    <w:rsid w:val="006D44CB"/>
    <w:rsid w:val="006D52F7"/>
    <w:rsid w:val="006D643D"/>
    <w:rsid w:val="006D7414"/>
    <w:rsid w:val="006E0FF8"/>
    <w:rsid w:val="006E2089"/>
    <w:rsid w:val="006E2761"/>
    <w:rsid w:val="006E2998"/>
    <w:rsid w:val="006E2CED"/>
    <w:rsid w:val="006E3452"/>
    <w:rsid w:val="006E36FD"/>
    <w:rsid w:val="006E4DA7"/>
    <w:rsid w:val="006E6E09"/>
    <w:rsid w:val="006E7E24"/>
    <w:rsid w:val="006F5F0F"/>
    <w:rsid w:val="00700BAB"/>
    <w:rsid w:val="0070327B"/>
    <w:rsid w:val="007042F8"/>
    <w:rsid w:val="00704C7F"/>
    <w:rsid w:val="00705EC3"/>
    <w:rsid w:val="0071179C"/>
    <w:rsid w:val="00711CE4"/>
    <w:rsid w:val="00712714"/>
    <w:rsid w:val="007139BE"/>
    <w:rsid w:val="00714BB7"/>
    <w:rsid w:val="00714C6E"/>
    <w:rsid w:val="00716771"/>
    <w:rsid w:val="007179E8"/>
    <w:rsid w:val="0072267B"/>
    <w:rsid w:val="00725A63"/>
    <w:rsid w:val="00730700"/>
    <w:rsid w:val="0073155C"/>
    <w:rsid w:val="007316A0"/>
    <w:rsid w:val="00734801"/>
    <w:rsid w:val="00734F3E"/>
    <w:rsid w:val="0073704B"/>
    <w:rsid w:val="00740063"/>
    <w:rsid w:val="00741293"/>
    <w:rsid w:val="007433D0"/>
    <w:rsid w:val="007437B2"/>
    <w:rsid w:val="007518E4"/>
    <w:rsid w:val="0075241B"/>
    <w:rsid w:val="00754805"/>
    <w:rsid w:val="007574CD"/>
    <w:rsid w:val="007603EE"/>
    <w:rsid w:val="0076254F"/>
    <w:rsid w:val="00763A90"/>
    <w:rsid w:val="00764F58"/>
    <w:rsid w:val="00770030"/>
    <w:rsid w:val="00772665"/>
    <w:rsid w:val="00777470"/>
    <w:rsid w:val="0078631D"/>
    <w:rsid w:val="00787874"/>
    <w:rsid w:val="007928DD"/>
    <w:rsid w:val="00792DE8"/>
    <w:rsid w:val="007964BD"/>
    <w:rsid w:val="007A0743"/>
    <w:rsid w:val="007A089F"/>
    <w:rsid w:val="007A1A3A"/>
    <w:rsid w:val="007A25BD"/>
    <w:rsid w:val="007A2C88"/>
    <w:rsid w:val="007A2E22"/>
    <w:rsid w:val="007A3FBD"/>
    <w:rsid w:val="007A462A"/>
    <w:rsid w:val="007A64C4"/>
    <w:rsid w:val="007C0B68"/>
    <w:rsid w:val="007C3E0D"/>
    <w:rsid w:val="007C3F02"/>
    <w:rsid w:val="007C43E7"/>
    <w:rsid w:val="007C5184"/>
    <w:rsid w:val="007C559C"/>
    <w:rsid w:val="007C594A"/>
    <w:rsid w:val="007C65FF"/>
    <w:rsid w:val="007D00F8"/>
    <w:rsid w:val="007D18CC"/>
    <w:rsid w:val="007D2762"/>
    <w:rsid w:val="007E0A6D"/>
    <w:rsid w:val="007E0C68"/>
    <w:rsid w:val="007E1013"/>
    <w:rsid w:val="007E19D6"/>
    <w:rsid w:val="007E2ED7"/>
    <w:rsid w:val="007E32C6"/>
    <w:rsid w:val="007E7A67"/>
    <w:rsid w:val="007F0CB1"/>
    <w:rsid w:val="007F0FB5"/>
    <w:rsid w:val="007F31B0"/>
    <w:rsid w:val="007F6B44"/>
    <w:rsid w:val="007F6C07"/>
    <w:rsid w:val="007F7F7B"/>
    <w:rsid w:val="007F7FE1"/>
    <w:rsid w:val="00802737"/>
    <w:rsid w:val="008067A5"/>
    <w:rsid w:val="00811E6D"/>
    <w:rsid w:val="008129F7"/>
    <w:rsid w:val="0081597A"/>
    <w:rsid w:val="0081738F"/>
    <w:rsid w:val="00823332"/>
    <w:rsid w:val="00825395"/>
    <w:rsid w:val="00826845"/>
    <w:rsid w:val="00830C1E"/>
    <w:rsid w:val="00831B8D"/>
    <w:rsid w:val="00832B2A"/>
    <w:rsid w:val="00835C1B"/>
    <w:rsid w:val="00843B9A"/>
    <w:rsid w:val="0084571E"/>
    <w:rsid w:val="008521E2"/>
    <w:rsid w:val="00855AC7"/>
    <w:rsid w:val="00857729"/>
    <w:rsid w:val="00857F08"/>
    <w:rsid w:val="00861B08"/>
    <w:rsid w:val="00861D75"/>
    <w:rsid w:val="00862EB0"/>
    <w:rsid w:val="00864049"/>
    <w:rsid w:val="00864F04"/>
    <w:rsid w:val="00865E3D"/>
    <w:rsid w:val="00866247"/>
    <w:rsid w:val="00871474"/>
    <w:rsid w:val="00874E57"/>
    <w:rsid w:val="008770B2"/>
    <w:rsid w:val="0087775C"/>
    <w:rsid w:val="00887D16"/>
    <w:rsid w:val="00893D71"/>
    <w:rsid w:val="00894562"/>
    <w:rsid w:val="008959FF"/>
    <w:rsid w:val="00897EAF"/>
    <w:rsid w:val="008A0B9B"/>
    <w:rsid w:val="008A1835"/>
    <w:rsid w:val="008A5E83"/>
    <w:rsid w:val="008B4B22"/>
    <w:rsid w:val="008C0DB5"/>
    <w:rsid w:val="008C104A"/>
    <w:rsid w:val="008C1F64"/>
    <w:rsid w:val="008C235E"/>
    <w:rsid w:val="008C2875"/>
    <w:rsid w:val="008C387D"/>
    <w:rsid w:val="008C5CAB"/>
    <w:rsid w:val="008D0E52"/>
    <w:rsid w:val="008D398D"/>
    <w:rsid w:val="008D3BD3"/>
    <w:rsid w:val="008D6A0A"/>
    <w:rsid w:val="008D73FC"/>
    <w:rsid w:val="008E3182"/>
    <w:rsid w:val="008E4453"/>
    <w:rsid w:val="008E448F"/>
    <w:rsid w:val="008E5C16"/>
    <w:rsid w:val="008E629A"/>
    <w:rsid w:val="008E6A68"/>
    <w:rsid w:val="008E6FB2"/>
    <w:rsid w:val="008F616C"/>
    <w:rsid w:val="008F7A4F"/>
    <w:rsid w:val="008F7DD9"/>
    <w:rsid w:val="00903691"/>
    <w:rsid w:val="00905AC7"/>
    <w:rsid w:val="00905AC8"/>
    <w:rsid w:val="00906EBF"/>
    <w:rsid w:val="00907041"/>
    <w:rsid w:val="009115B3"/>
    <w:rsid w:val="0091276E"/>
    <w:rsid w:val="00914170"/>
    <w:rsid w:val="00914440"/>
    <w:rsid w:val="0091498A"/>
    <w:rsid w:val="009160F3"/>
    <w:rsid w:val="00917057"/>
    <w:rsid w:val="009208A7"/>
    <w:rsid w:val="009223B3"/>
    <w:rsid w:val="00923A25"/>
    <w:rsid w:val="00923E52"/>
    <w:rsid w:val="009243E7"/>
    <w:rsid w:val="009256A1"/>
    <w:rsid w:val="00931CB0"/>
    <w:rsid w:val="0093365F"/>
    <w:rsid w:val="009345FC"/>
    <w:rsid w:val="00934900"/>
    <w:rsid w:val="00937D41"/>
    <w:rsid w:val="00940E9B"/>
    <w:rsid w:val="009455AB"/>
    <w:rsid w:val="0094652C"/>
    <w:rsid w:val="00946B76"/>
    <w:rsid w:val="00947EC7"/>
    <w:rsid w:val="00950735"/>
    <w:rsid w:val="009515BC"/>
    <w:rsid w:val="00956B4E"/>
    <w:rsid w:val="009575AC"/>
    <w:rsid w:val="009577F2"/>
    <w:rsid w:val="00957837"/>
    <w:rsid w:val="0096434E"/>
    <w:rsid w:val="009672BB"/>
    <w:rsid w:val="0097454D"/>
    <w:rsid w:val="00976662"/>
    <w:rsid w:val="00982FBA"/>
    <w:rsid w:val="009872E0"/>
    <w:rsid w:val="00987E71"/>
    <w:rsid w:val="0099123F"/>
    <w:rsid w:val="00991FFB"/>
    <w:rsid w:val="009930E5"/>
    <w:rsid w:val="009957ED"/>
    <w:rsid w:val="0099699C"/>
    <w:rsid w:val="00997A79"/>
    <w:rsid w:val="009A0476"/>
    <w:rsid w:val="009A1C91"/>
    <w:rsid w:val="009A2A69"/>
    <w:rsid w:val="009A2B47"/>
    <w:rsid w:val="009B3404"/>
    <w:rsid w:val="009B67AF"/>
    <w:rsid w:val="009B6F05"/>
    <w:rsid w:val="009B71BB"/>
    <w:rsid w:val="009C1EF4"/>
    <w:rsid w:val="009C49D6"/>
    <w:rsid w:val="009C6A0C"/>
    <w:rsid w:val="009C7021"/>
    <w:rsid w:val="009D10DB"/>
    <w:rsid w:val="009D16DE"/>
    <w:rsid w:val="009D2FC8"/>
    <w:rsid w:val="009D5880"/>
    <w:rsid w:val="009D5D76"/>
    <w:rsid w:val="009D6966"/>
    <w:rsid w:val="009E4021"/>
    <w:rsid w:val="009E5A3A"/>
    <w:rsid w:val="009F0E12"/>
    <w:rsid w:val="009F2320"/>
    <w:rsid w:val="009F23B5"/>
    <w:rsid w:val="009F27A4"/>
    <w:rsid w:val="009F386D"/>
    <w:rsid w:val="009F39A1"/>
    <w:rsid w:val="009F5839"/>
    <w:rsid w:val="009F778A"/>
    <w:rsid w:val="00A0037E"/>
    <w:rsid w:val="00A009CB"/>
    <w:rsid w:val="00A00AB3"/>
    <w:rsid w:val="00A026A7"/>
    <w:rsid w:val="00A03616"/>
    <w:rsid w:val="00A10258"/>
    <w:rsid w:val="00A11B6D"/>
    <w:rsid w:val="00A1251E"/>
    <w:rsid w:val="00A13F7E"/>
    <w:rsid w:val="00A14153"/>
    <w:rsid w:val="00A21A8C"/>
    <w:rsid w:val="00A224CC"/>
    <w:rsid w:val="00A22EBB"/>
    <w:rsid w:val="00A2334D"/>
    <w:rsid w:val="00A27E1E"/>
    <w:rsid w:val="00A300C5"/>
    <w:rsid w:val="00A30ED4"/>
    <w:rsid w:val="00A327DE"/>
    <w:rsid w:val="00A32DEC"/>
    <w:rsid w:val="00A32F0E"/>
    <w:rsid w:val="00A348E7"/>
    <w:rsid w:val="00A34C03"/>
    <w:rsid w:val="00A35517"/>
    <w:rsid w:val="00A40038"/>
    <w:rsid w:val="00A4074F"/>
    <w:rsid w:val="00A41B93"/>
    <w:rsid w:val="00A42054"/>
    <w:rsid w:val="00A42C65"/>
    <w:rsid w:val="00A44903"/>
    <w:rsid w:val="00A44CAD"/>
    <w:rsid w:val="00A47088"/>
    <w:rsid w:val="00A508B3"/>
    <w:rsid w:val="00A5612A"/>
    <w:rsid w:val="00A640FE"/>
    <w:rsid w:val="00A66710"/>
    <w:rsid w:val="00A677F3"/>
    <w:rsid w:val="00A702A2"/>
    <w:rsid w:val="00A73FF9"/>
    <w:rsid w:val="00A75C05"/>
    <w:rsid w:val="00A765F0"/>
    <w:rsid w:val="00A80A05"/>
    <w:rsid w:val="00A84BE9"/>
    <w:rsid w:val="00A84C4B"/>
    <w:rsid w:val="00A8567D"/>
    <w:rsid w:val="00A870CD"/>
    <w:rsid w:val="00A8735B"/>
    <w:rsid w:val="00A87A3F"/>
    <w:rsid w:val="00A87C9A"/>
    <w:rsid w:val="00A905C4"/>
    <w:rsid w:val="00A91BDD"/>
    <w:rsid w:val="00A947E1"/>
    <w:rsid w:val="00A9497F"/>
    <w:rsid w:val="00A95F3B"/>
    <w:rsid w:val="00A9617B"/>
    <w:rsid w:val="00A96C29"/>
    <w:rsid w:val="00AA0F52"/>
    <w:rsid w:val="00AA27E0"/>
    <w:rsid w:val="00AA283C"/>
    <w:rsid w:val="00AA3DE2"/>
    <w:rsid w:val="00AB0802"/>
    <w:rsid w:val="00AB22EF"/>
    <w:rsid w:val="00AB5277"/>
    <w:rsid w:val="00AB5438"/>
    <w:rsid w:val="00AB5CCC"/>
    <w:rsid w:val="00AC36C2"/>
    <w:rsid w:val="00AC5331"/>
    <w:rsid w:val="00AC6B67"/>
    <w:rsid w:val="00AD178D"/>
    <w:rsid w:val="00AD4001"/>
    <w:rsid w:val="00AD4324"/>
    <w:rsid w:val="00AD6A88"/>
    <w:rsid w:val="00AD7B80"/>
    <w:rsid w:val="00AE2BFC"/>
    <w:rsid w:val="00AE492E"/>
    <w:rsid w:val="00AE7D1D"/>
    <w:rsid w:val="00AF0318"/>
    <w:rsid w:val="00AF1E5B"/>
    <w:rsid w:val="00AF291A"/>
    <w:rsid w:val="00AF4CDA"/>
    <w:rsid w:val="00AF4E1A"/>
    <w:rsid w:val="00AF572E"/>
    <w:rsid w:val="00B01C99"/>
    <w:rsid w:val="00B02F9F"/>
    <w:rsid w:val="00B04414"/>
    <w:rsid w:val="00B05695"/>
    <w:rsid w:val="00B10CF7"/>
    <w:rsid w:val="00B1293D"/>
    <w:rsid w:val="00B1361B"/>
    <w:rsid w:val="00B14887"/>
    <w:rsid w:val="00B1582B"/>
    <w:rsid w:val="00B16799"/>
    <w:rsid w:val="00B16D1A"/>
    <w:rsid w:val="00B24FC9"/>
    <w:rsid w:val="00B25CB6"/>
    <w:rsid w:val="00B30C23"/>
    <w:rsid w:val="00B32C1E"/>
    <w:rsid w:val="00B356AC"/>
    <w:rsid w:val="00B40AB0"/>
    <w:rsid w:val="00B40B95"/>
    <w:rsid w:val="00B41080"/>
    <w:rsid w:val="00B41EC9"/>
    <w:rsid w:val="00B53209"/>
    <w:rsid w:val="00B53D71"/>
    <w:rsid w:val="00B607A0"/>
    <w:rsid w:val="00B65800"/>
    <w:rsid w:val="00B7034B"/>
    <w:rsid w:val="00B72B8F"/>
    <w:rsid w:val="00B73337"/>
    <w:rsid w:val="00B7491E"/>
    <w:rsid w:val="00B77E35"/>
    <w:rsid w:val="00B80B21"/>
    <w:rsid w:val="00B8556B"/>
    <w:rsid w:val="00B85753"/>
    <w:rsid w:val="00B86E84"/>
    <w:rsid w:val="00B87C93"/>
    <w:rsid w:val="00B90FEA"/>
    <w:rsid w:val="00B91BEC"/>
    <w:rsid w:val="00B956A6"/>
    <w:rsid w:val="00BA0AF5"/>
    <w:rsid w:val="00BA1CFA"/>
    <w:rsid w:val="00BA1F5D"/>
    <w:rsid w:val="00BA324A"/>
    <w:rsid w:val="00BA4F4E"/>
    <w:rsid w:val="00BA61F3"/>
    <w:rsid w:val="00BB127B"/>
    <w:rsid w:val="00BB211C"/>
    <w:rsid w:val="00BB3427"/>
    <w:rsid w:val="00BB4569"/>
    <w:rsid w:val="00BC0651"/>
    <w:rsid w:val="00BC1EC1"/>
    <w:rsid w:val="00BC1F5E"/>
    <w:rsid w:val="00BC2B2F"/>
    <w:rsid w:val="00BC3B23"/>
    <w:rsid w:val="00BC3C06"/>
    <w:rsid w:val="00BC4E2C"/>
    <w:rsid w:val="00BC65A5"/>
    <w:rsid w:val="00BD1336"/>
    <w:rsid w:val="00BD4B6A"/>
    <w:rsid w:val="00BD7A33"/>
    <w:rsid w:val="00BD7C22"/>
    <w:rsid w:val="00BD7D97"/>
    <w:rsid w:val="00BE0BD1"/>
    <w:rsid w:val="00BE2CF0"/>
    <w:rsid w:val="00BE3560"/>
    <w:rsid w:val="00BE4023"/>
    <w:rsid w:val="00BE67DF"/>
    <w:rsid w:val="00BE7C87"/>
    <w:rsid w:val="00BE7FD4"/>
    <w:rsid w:val="00BE7FF5"/>
    <w:rsid w:val="00BF110D"/>
    <w:rsid w:val="00BF428E"/>
    <w:rsid w:val="00BF4D95"/>
    <w:rsid w:val="00BF6E11"/>
    <w:rsid w:val="00C015FE"/>
    <w:rsid w:val="00C0188C"/>
    <w:rsid w:val="00C030BD"/>
    <w:rsid w:val="00C0487E"/>
    <w:rsid w:val="00C049C5"/>
    <w:rsid w:val="00C050D9"/>
    <w:rsid w:val="00C0623B"/>
    <w:rsid w:val="00C062FA"/>
    <w:rsid w:val="00C0761C"/>
    <w:rsid w:val="00C07772"/>
    <w:rsid w:val="00C1028D"/>
    <w:rsid w:val="00C11C5D"/>
    <w:rsid w:val="00C151E9"/>
    <w:rsid w:val="00C16A64"/>
    <w:rsid w:val="00C210FF"/>
    <w:rsid w:val="00C21308"/>
    <w:rsid w:val="00C244EF"/>
    <w:rsid w:val="00C24636"/>
    <w:rsid w:val="00C30B50"/>
    <w:rsid w:val="00C30F13"/>
    <w:rsid w:val="00C32405"/>
    <w:rsid w:val="00C352DC"/>
    <w:rsid w:val="00C35D40"/>
    <w:rsid w:val="00C4033E"/>
    <w:rsid w:val="00C43B9B"/>
    <w:rsid w:val="00C465E9"/>
    <w:rsid w:val="00C4738D"/>
    <w:rsid w:val="00C506CB"/>
    <w:rsid w:val="00C57DFE"/>
    <w:rsid w:val="00C603D0"/>
    <w:rsid w:val="00C60C18"/>
    <w:rsid w:val="00C70E73"/>
    <w:rsid w:val="00C746D1"/>
    <w:rsid w:val="00C758F0"/>
    <w:rsid w:val="00C76FD5"/>
    <w:rsid w:val="00C83357"/>
    <w:rsid w:val="00C83604"/>
    <w:rsid w:val="00C85A1D"/>
    <w:rsid w:val="00C86573"/>
    <w:rsid w:val="00C87A83"/>
    <w:rsid w:val="00C93CC8"/>
    <w:rsid w:val="00C93DBB"/>
    <w:rsid w:val="00C94F48"/>
    <w:rsid w:val="00C9696D"/>
    <w:rsid w:val="00C974BA"/>
    <w:rsid w:val="00CA266F"/>
    <w:rsid w:val="00CA48C0"/>
    <w:rsid w:val="00CA4BA7"/>
    <w:rsid w:val="00CA4D82"/>
    <w:rsid w:val="00CA50DE"/>
    <w:rsid w:val="00CA5890"/>
    <w:rsid w:val="00CB0D7C"/>
    <w:rsid w:val="00CB7B4C"/>
    <w:rsid w:val="00CC0C6A"/>
    <w:rsid w:val="00CC24AD"/>
    <w:rsid w:val="00CC5142"/>
    <w:rsid w:val="00CC7171"/>
    <w:rsid w:val="00CD3D82"/>
    <w:rsid w:val="00CD5001"/>
    <w:rsid w:val="00CD5A54"/>
    <w:rsid w:val="00CD6033"/>
    <w:rsid w:val="00CD65D7"/>
    <w:rsid w:val="00CD7DB3"/>
    <w:rsid w:val="00CE1044"/>
    <w:rsid w:val="00CE4A13"/>
    <w:rsid w:val="00CE6C23"/>
    <w:rsid w:val="00CE70DE"/>
    <w:rsid w:val="00CE7BEF"/>
    <w:rsid w:val="00CF0422"/>
    <w:rsid w:val="00CF121A"/>
    <w:rsid w:val="00CF1BA7"/>
    <w:rsid w:val="00CF27A9"/>
    <w:rsid w:val="00CF29B8"/>
    <w:rsid w:val="00CF3824"/>
    <w:rsid w:val="00CF4D87"/>
    <w:rsid w:val="00CF648D"/>
    <w:rsid w:val="00CF6EAB"/>
    <w:rsid w:val="00CF77BC"/>
    <w:rsid w:val="00D0032F"/>
    <w:rsid w:val="00D02AB2"/>
    <w:rsid w:val="00D03BE2"/>
    <w:rsid w:val="00D04F49"/>
    <w:rsid w:val="00D06BE8"/>
    <w:rsid w:val="00D11832"/>
    <w:rsid w:val="00D11D22"/>
    <w:rsid w:val="00D155F6"/>
    <w:rsid w:val="00D1629F"/>
    <w:rsid w:val="00D211E5"/>
    <w:rsid w:val="00D24906"/>
    <w:rsid w:val="00D264DA"/>
    <w:rsid w:val="00D3138D"/>
    <w:rsid w:val="00D313F2"/>
    <w:rsid w:val="00D32122"/>
    <w:rsid w:val="00D33B94"/>
    <w:rsid w:val="00D347AD"/>
    <w:rsid w:val="00D35678"/>
    <w:rsid w:val="00D3754D"/>
    <w:rsid w:val="00D3766D"/>
    <w:rsid w:val="00D40BAC"/>
    <w:rsid w:val="00D40F3E"/>
    <w:rsid w:val="00D44E17"/>
    <w:rsid w:val="00D461EC"/>
    <w:rsid w:val="00D46DA8"/>
    <w:rsid w:val="00D472EB"/>
    <w:rsid w:val="00D47EE8"/>
    <w:rsid w:val="00D52B78"/>
    <w:rsid w:val="00D53EFD"/>
    <w:rsid w:val="00D61828"/>
    <w:rsid w:val="00D62A30"/>
    <w:rsid w:val="00D62EBB"/>
    <w:rsid w:val="00D67897"/>
    <w:rsid w:val="00D6792D"/>
    <w:rsid w:val="00D725C8"/>
    <w:rsid w:val="00D730B0"/>
    <w:rsid w:val="00D75638"/>
    <w:rsid w:val="00D76184"/>
    <w:rsid w:val="00D763C9"/>
    <w:rsid w:val="00D77CE3"/>
    <w:rsid w:val="00D80C17"/>
    <w:rsid w:val="00D8270E"/>
    <w:rsid w:val="00D82EEF"/>
    <w:rsid w:val="00D8459F"/>
    <w:rsid w:val="00D845E6"/>
    <w:rsid w:val="00D848D0"/>
    <w:rsid w:val="00D8496E"/>
    <w:rsid w:val="00D8524D"/>
    <w:rsid w:val="00D8625E"/>
    <w:rsid w:val="00D86CEC"/>
    <w:rsid w:val="00D872DD"/>
    <w:rsid w:val="00D8767E"/>
    <w:rsid w:val="00D90AE5"/>
    <w:rsid w:val="00D91328"/>
    <w:rsid w:val="00D92768"/>
    <w:rsid w:val="00D9746D"/>
    <w:rsid w:val="00DA03A1"/>
    <w:rsid w:val="00DA03FE"/>
    <w:rsid w:val="00DA1A29"/>
    <w:rsid w:val="00DA4109"/>
    <w:rsid w:val="00DB1FFF"/>
    <w:rsid w:val="00DB6BFE"/>
    <w:rsid w:val="00DB7A08"/>
    <w:rsid w:val="00DC0F86"/>
    <w:rsid w:val="00DD1166"/>
    <w:rsid w:val="00DD2BE5"/>
    <w:rsid w:val="00DD31D5"/>
    <w:rsid w:val="00DD3BCC"/>
    <w:rsid w:val="00DD62C4"/>
    <w:rsid w:val="00DD7DAA"/>
    <w:rsid w:val="00DE0D05"/>
    <w:rsid w:val="00DE3B9A"/>
    <w:rsid w:val="00DE6B19"/>
    <w:rsid w:val="00DE74EB"/>
    <w:rsid w:val="00DF233A"/>
    <w:rsid w:val="00DF2B87"/>
    <w:rsid w:val="00DF3079"/>
    <w:rsid w:val="00DF7E8F"/>
    <w:rsid w:val="00E01558"/>
    <w:rsid w:val="00E0188F"/>
    <w:rsid w:val="00E03200"/>
    <w:rsid w:val="00E03898"/>
    <w:rsid w:val="00E06028"/>
    <w:rsid w:val="00E0791C"/>
    <w:rsid w:val="00E11246"/>
    <w:rsid w:val="00E13082"/>
    <w:rsid w:val="00E151C1"/>
    <w:rsid w:val="00E160A2"/>
    <w:rsid w:val="00E16B1D"/>
    <w:rsid w:val="00E20F4A"/>
    <w:rsid w:val="00E21517"/>
    <w:rsid w:val="00E22511"/>
    <w:rsid w:val="00E234C1"/>
    <w:rsid w:val="00E24691"/>
    <w:rsid w:val="00E27D8A"/>
    <w:rsid w:val="00E31E3D"/>
    <w:rsid w:val="00E35210"/>
    <w:rsid w:val="00E36B09"/>
    <w:rsid w:val="00E40F53"/>
    <w:rsid w:val="00E410D7"/>
    <w:rsid w:val="00E4263E"/>
    <w:rsid w:val="00E430D6"/>
    <w:rsid w:val="00E4654E"/>
    <w:rsid w:val="00E47A86"/>
    <w:rsid w:val="00E51267"/>
    <w:rsid w:val="00E52D07"/>
    <w:rsid w:val="00E548B2"/>
    <w:rsid w:val="00E56FF6"/>
    <w:rsid w:val="00E60297"/>
    <w:rsid w:val="00E6197D"/>
    <w:rsid w:val="00E63B55"/>
    <w:rsid w:val="00E6763B"/>
    <w:rsid w:val="00E70041"/>
    <w:rsid w:val="00E70889"/>
    <w:rsid w:val="00E70EB0"/>
    <w:rsid w:val="00E713D3"/>
    <w:rsid w:val="00E71E78"/>
    <w:rsid w:val="00E71ECB"/>
    <w:rsid w:val="00E72140"/>
    <w:rsid w:val="00E74F38"/>
    <w:rsid w:val="00E776FC"/>
    <w:rsid w:val="00E82294"/>
    <w:rsid w:val="00E85724"/>
    <w:rsid w:val="00E903BA"/>
    <w:rsid w:val="00E90888"/>
    <w:rsid w:val="00E91CFF"/>
    <w:rsid w:val="00E9445E"/>
    <w:rsid w:val="00E94A3E"/>
    <w:rsid w:val="00E94D74"/>
    <w:rsid w:val="00E94F55"/>
    <w:rsid w:val="00E9714E"/>
    <w:rsid w:val="00EA14A2"/>
    <w:rsid w:val="00EA4A70"/>
    <w:rsid w:val="00EA5BB7"/>
    <w:rsid w:val="00EA6734"/>
    <w:rsid w:val="00EB0AA8"/>
    <w:rsid w:val="00EB15BA"/>
    <w:rsid w:val="00EB3F04"/>
    <w:rsid w:val="00EB3F8D"/>
    <w:rsid w:val="00EB60B7"/>
    <w:rsid w:val="00EB7BE0"/>
    <w:rsid w:val="00EC2DBF"/>
    <w:rsid w:val="00EC5A85"/>
    <w:rsid w:val="00ED1015"/>
    <w:rsid w:val="00ED10B2"/>
    <w:rsid w:val="00ED1BEC"/>
    <w:rsid w:val="00ED1D2E"/>
    <w:rsid w:val="00ED55B0"/>
    <w:rsid w:val="00ED6FFC"/>
    <w:rsid w:val="00ED760F"/>
    <w:rsid w:val="00EE0FF9"/>
    <w:rsid w:val="00EE100A"/>
    <w:rsid w:val="00EE1299"/>
    <w:rsid w:val="00EE355A"/>
    <w:rsid w:val="00EE52D2"/>
    <w:rsid w:val="00EE557D"/>
    <w:rsid w:val="00EE66FA"/>
    <w:rsid w:val="00EF0991"/>
    <w:rsid w:val="00EF1506"/>
    <w:rsid w:val="00EF2441"/>
    <w:rsid w:val="00EF3D3A"/>
    <w:rsid w:val="00EF473C"/>
    <w:rsid w:val="00EF5E48"/>
    <w:rsid w:val="00F04699"/>
    <w:rsid w:val="00F06709"/>
    <w:rsid w:val="00F069C6"/>
    <w:rsid w:val="00F06B3A"/>
    <w:rsid w:val="00F13AEC"/>
    <w:rsid w:val="00F14BCC"/>
    <w:rsid w:val="00F16D7D"/>
    <w:rsid w:val="00F22983"/>
    <w:rsid w:val="00F22A3C"/>
    <w:rsid w:val="00F256B9"/>
    <w:rsid w:val="00F25DE0"/>
    <w:rsid w:val="00F3004D"/>
    <w:rsid w:val="00F30305"/>
    <w:rsid w:val="00F329CE"/>
    <w:rsid w:val="00F33382"/>
    <w:rsid w:val="00F3545E"/>
    <w:rsid w:val="00F35BA8"/>
    <w:rsid w:val="00F35BAF"/>
    <w:rsid w:val="00F3630A"/>
    <w:rsid w:val="00F379EC"/>
    <w:rsid w:val="00F37EC1"/>
    <w:rsid w:val="00F40262"/>
    <w:rsid w:val="00F40E2D"/>
    <w:rsid w:val="00F41E74"/>
    <w:rsid w:val="00F42161"/>
    <w:rsid w:val="00F43CF8"/>
    <w:rsid w:val="00F43D47"/>
    <w:rsid w:val="00F444E9"/>
    <w:rsid w:val="00F500B5"/>
    <w:rsid w:val="00F51A75"/>
    <w:rsid w:val="00F533E4"/>
    <w:rsid w:val="00F558A7"/>
    <w:rsid w:val="00F562FD"/>
    <w:rsid w:val="00F56691"/>
    <w:rsid w:val="00F61B55"/>
    <w:rsid w:val="00F6402E"/>
    <w:rsid w:val="00F64164"/>
    <w:rsid w:val="00F66A00"/>
    <w:rsid w:val="00F737ED"/>
    <w:rsid w:val="00F75055"/>
    <w:rsid w:val="00F75647"/>
    <w:rsid w:val="00F760E9"/>
    <w:rsid w:val="00F76FBB"/>
    <w:rsid w:val="00F823ED"/>
    <w:rsid w:val="00F86475"/>
    <w:rsid w:val="00F86742"/>
    <w:rsid w:val="00F907E7"/>
    <w:rsid w:val="00F91EA6"/>
    <w:rsid w:val="00F948FD"/>
    <w:rsid w:val="00F975CC"/>
    <w:rsid w:val="00F97A53"/>
    <w:rsid w:val="00FA1413"/>
    <w:rsid w:val="00FA14E7"/>
    <w:rsid w:val="00FA2219"/>
    <w:rsid w:val="00FA260D"/>
    <w:rsid w:val="00FA3840"/>
    <w:rsid w:val="00FA7D5F"/>
    <w:rsid w:val="00FB0200"/>
    <w:rsid w:val="00FB3BB0"/>
    <w:rsid w:val="00FB5649"/>
    <w:rsid w:val="00FB589E"/>
    <w:rsid w:val="00FB64C3"/>
    <w:rsid w:val="00FB71A7"/>
    <w:rsid w:val="00FC3DFB"/>
    <w:rsid w:val="00FC4558"/>
    <w:rsid w:val="00FC49BA"/>
    <w:rsid w:val="00FC4C18"/>
    <w:rsid w:val="00FC4D12"/>
    <w:rsid w:val="00FC7B00"/>
    <w:rsid w:val="00FD1D64"/>
    <w:rsid w:val="00FD24C2"/>
    <w:rsid w:val="00FD2554"/>
    <w:rsid w:val="00FD2CDA"/>
    <w:rsid w:val="00FD31EF"/>
    <w:rsid w:val="00FD49B9"/>
    <w:rsid w:val="00FD6B98"/>
    <w:rsid w:val="00FD725A"/>
    <w:rsid w:val="00FE07B0"/>
    <w:rsid w:val="00FE0B69"/>
    <w:rsid w:val="00FE261B"/>
    <w:rsid w:val="00FE2C19"/>
    <w:rsid w:val="00FE2E08"/>
    <w:rsid w:val="00FF0841"/>
    <w:rsid w:val="00FF0F9C"/>
    <w:rsid w:val="00FF1F13"/>
    <w:rsid w:val="00FF3F1E"/>
    <w:rsid w:val="00FF5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3C6C"/>
  <w15:docId w15:val="{A3159F4F-7EF7-4EFE-9E6E-E51AACD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E3"/>
    <w:pPr>
      <w:spacing w:after="160" w:line="259" w:lineRule="auto"/>
    </w:pPr>
    <w:rPr>
      <w:sz w:val="22"/>
      <w:szCs w:val="22"/>
      <w:lang w:eastAsia="en-US"/>
    </w:rPr>
  </w:style>
  <w:style w:type="paragraph" w:styleId="Ttulo1">
    <w:name w:val="heading 1"/>
    <w:basedOn w:val="Normal"/>
    <w:next w:val="Normal"/>
    <w:link w:val="Ttulo1Car"/>
    <w:uiPriority w:val="9"/>
    <w:rsid w:val="0066638C"/>
    <w:pPr>
      <w:keepNext/>
      <w:spacing w:before="240" w:after="60"/>
      <w:outlineLvl w:val="0"/>
    </w:pPr>
    <w:rPr>
      <w:rFonts w:ascii="Noto Sans" w:eastAsia="Times New Roman" w:hAnsi="Noto Sans"/>
      <w:b/>
      <w:bCs/>
      <w:kern w:val="32"/>
      <w:sz w:val="32"/>
      <w:szCs w:val="32"/>
    </w:rPr>
  </w:style>
  <w:style w:type="paragraph" w:styleId="Ttulo2">
    <w:name w:val="heading 2"/>
    <w:basedOn w:val="Normal"/>
    <w:next w:val="Normal"/>
    <w:link w:val="Ttulo2Car"/>
    <w:uiPriority w:val="9"/>
    <w:semiHidden/>
    <w:unhideWhenUsed/>
    <w:qFormat/>
    <w:rsid w:val="0066638C"/>
    <w:pPr>
      <w:keepNext/>
      <w:spacing w:before="240" w:after="60"/>
      <w:outlineLvl w:val="1"/>
    </w:pPr>
    <w:rPr>
      <w:rFonts w:ascii="Noto Sans" w:eastAsia="Times New Roman" w:hAnsi="Noto Sans"/>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BE2"/>
    <w:pPr>
      <w:tabs>
        <w:tab w:val="center" w:pos="4419"/>
        <w:tab w:val="right" w:pos="8838"/>
      </w:tabs>
      <w:spacing w:after="60" w:line="240" w:lineRule="auto"/>
      <w:jc w:val="center"/>
    </w:pPr>
    <w:rPr>
      <w:rFonts w:ascii="Noto Sans" w:hAnsi="Noto Sans"/>
      <w:smallCaps/>
      <w:color w:val="691C32"/>
      <w:sz w:val="26"/>
    </w:rPr>
  </w:style>
  <w:style w:type="character" w:customStyle="1" w:styleId="EncabezadoCar">
    <w:name w:val="Encabezado Car"/>
    <w:link w:val="Encabezado"/>
    <w:uiPriority w:val="99"/>
    <w:rsid w:val="00D03BE2"/>
    <w:rPr>
      <w:rFonts w:ascii="Noto Sans" w:hAnsi="Noto Sans"/>
      <w:smallCaps/>
      <w:color w:val="691C32"/>
      <w:sz w:val="26"/>
      <w:szCs w:val="22"/>
      <w:lang w:eastAsia="en-US"/>
    </w:rPr>
  </w:style>
  <w:style w:type="paragraph" w:customStyle="1" w:styleId="TTULOS">
    <w:name w:val="TÍTULOS"/>
    <w:basedOn w:val="Normal"/>
    <w:qFormat/>
    <w:rsid w:val="000C47A3"/>
    <w:pPr>
      <w:spacing w:after="120" w:line="280" w:lineRule="exact"/>
      <w:jc w:val="center"/>
    </w:pPr>
    <w:rPr>
      <w:rFonts w:ascii="Noto Sans ExtraBold" w:hAnsi="Noto Sans ExtraBold"/>
      <w:caps/>
      <w:sz w:val="24"/>
    </w:rPr>
  </w:style>
  <w:style w:type="paragraph" w:customStyle="1" w:styleId="SUBTTULO1">
    <w:name w:val="SUBTÍTULO_1"/>
    <w:basedOn w:val="Normal"/>
    <w:qFormat/>
    <w:rsid w:val="00E0188F"/>
    <w:pPr>
      <w:spacing w:before="240" w:after="120" w:line="250" w:lineRule="exact"/>
      <w:ind w:left="714" w:hanging="357"/>
    </w:pPr>
    <w:rPr>
      <w:rFonts w:ascii="Noto Sans" w:hAnsi="Noto Sans"/>
      <w:b/>
      <w:caps/>
    </w:rPr>
  </w:style>
  <w:style w:type="paragraph" w:customStyle="1" w:styleId="PiePagEnte">
    <w:name w:val="Pie_Pag_Ente"/>
    <w:basedOn w:val="Encabezado"/>
    <w:qFormat/>
    <w:rsid w:val="0021668A"/>
    <w:pPr>
      <w:spacing w:before="60"/>
    </w:pPr>
    <w:rPr>
      <w:b/>
      <w:caps/>
      <w:smallCaps w:val="0"/>
      <w:sz w:val="18"/>
      <w:szCs w:val="16"/>
      <w:lang w:val="es-ES"/>
    </w:rPr>
  </w:style>
  <w:style w:type="paragraph" w:customStyle="1" w:styleId="SUBTTULO2">
    <w:name w:val="SUBTÍTULO_2"/>
    <w:basedOn w:val="SUBTTULO1"/>
    <w:qFormat/>
    <w:rsid w:val="00F33382"/>
    <w:pPr>
      <w:ind w:left="0" w:firstLine="0"/>
    </w:pPr>
  </w:style>
  <w:style w:type="paragraph" w:customStyle="1" w:styleId="TEXTONORMAL">
    <w:name w:val="TEXTO_NORMAL"/>
    <w:basedOn w:val="SUBTTULO2"/>
    <w:qFormat/>
    <w:rsid w:val="00714BB7"/>
    <w:pPr>
      <w:spacing w:before="0"/>
      <w:jc w:val="both"/>
    </w:pPr>
    <w:rPr>
      <w:b w:val="0"/>
      <w:caps w:val="0"/>
      <w:sz w:val="18"/>
    </w:rPr>
  </w:style>
  <w:style w:type="paragraph" w:customStyle="1" w:styleId="VIETAFLECHA">
    <w:name w:val="VIÑETA_FLECHA"/>
    <w:basedOn w:val="TEXTONORMAL"/>
    <w:qFormat/>
    <w:rsid w:val="00C062FA"/>
    <w:pPr>
      <w:numPr>
        <w:numId w:val="1"/>
      </w:numPr>
    </w:pPr>
  </w:style>
  <w:style w:type="paragraph" w:customStyle="1" w:styleId="VIETAROMBO">
    <w:name w:val="VIÑETA_ROMBO"/>
    <w:basedOn w:val="VIETAFLECHA"/>
    <w:qFormat/>
    <w:rsid w:val="00C062FA"/>
    <w:pPr>
      <w:numPr>
        <w:numId w:val="2"/>
      </w:numPr>
      <w:ind w:left="714" w:hanging="357"/>
    </w:pPr>
  </w:style>
  <w:style w:type="paragraph" w:customStyle="1" w:styleId="VIETABALA">
    <w:name w:val="VIÑETA_BALA"/>
    <w:basedOn w:val="VIETAROMBO"/>
    <w:qFormat/>
    <w:rsid w:val="00C062FA"/>
    <w:pPr>
      <w:numPr>
        <w:numId w:val="3"/>
      </w:numPr>
      <w:ind w:left="998" w:hanging="284"/>
    </w:pPr>
  </w:style>
  <w:style w:type="paragraph" w:customStyle="1" w:styleId="VIETACUADRO">
    <w:name w:val="VIÑETA_CUADRO"/>
    <w:basedOn w:val="VIETABALA"/>
    <w:qFormat/>
    <w:rsid w:val="00C062FA"/>
    <w:pPr>
      <w:numPr>
        <w:numId w:val="4"/>
      </w:numPr>
      <w:ind w:left="1305" w:hanging="284"/>
    </w:pPr>
  </w:style>
  <w:style w:type="paragraph" w:customStyle="1" w:styleId="NOTAALPIE">
    <w:name w:val="NOTA_AL_PIE"/>
    <w:basedOn w:val="TEXTONORMAL"/>
    <w:qFormat/>
    <w:rsid w:val="000C47A3"/>
    <w:pPr>
      <w:tabs>
        <w:tab w:val="left" w:pos="170"/>
      </w:tabs>
      <w:spacing w:line="240" w:lineRule="auto"/>
      <w:ind w:left="170" w:hanging="170"/>
    </w:pPr>
    <w:rPr>
      <w:sz w:val="16"/>
    </w:rPr>
  </w:style>
  <w:style w:type="character" w:customStyle="1" w:styleId="Ttulo1Car">
    <w:name w:val="Título 1 Car"/>
    <w:link w:val="Ttulo1"/>
    <w:uiPriority w:val="9"/>
    <w:rsid w:val="0066638C"/>
    <w:rPr>
      <w:rFonts w:ascii="Noto Sans" w:eastAsia="Times New Roman" w:hAnsi="Noto Sans"/>
      <w:b/>
      <w:bCs/>
      <w:kern w:val="32"/>
      <w:sz w:val="32"/>
      <w:szCs w:val="32"/>
      <w:lang w:eastAsia="en-US"/>
    </w:rPr>
  </w:style>
  <w:style w:type="paragraph" w:styleId="Piedepgina">
    <w:name w:val="footer"/>
    <w:basedOn w:val="Normal"/>
    <w:link w:val="PiedepginaCar"/>
    <w:uiPriority w:val="99"/>
    <w:unhideWhenUsed/>
    <w:rsid w:val="00A2334D"/>
    <w:pPr>
      <w:tabs>
        <w:tab w:val="center" w:pos="4419"/>
        <w:tab w:val="right" w:pos="8838"/>
      </w:tabs>
      <w:spacing w:before="60" w:after="60" w:line="240" w:lineRule="auto"/>
      <w:jc w:val="right"/>
    </w:pPr>
    <w:rPr>
      <w:rFonts w:ascii="Noto Sans" w:hAnsi="Noto Sans"/>
      <w:b/>
      <w:color w:val="691C32"/>
      <w:sz w:val="18"/>
    </w:rPr>
  </w:style>
  <w:style w:type="character" w:customStyle="1" w:styleId="PiedepginaCar">
    <w:name w:val="Pie de página Car"/>
    <w:link w:val="Piedepgina"/>
    <w:uiPriority w:val="99"/>
    <w:rsid w:val="00A2334D"/>
    <w:rPr>
      <w:rFonts w:ascii="Noto Sans" w:hAnsi="Noto Sans"/>
      <w:b/>
      <w:color w:val="691C32"/>
      <w:sz w:val="18"/>
      <w:szCs w:val="22"/>
      <w:lang w:eastAsia="en-US"/>
    </w:rPr>
  </w:style>
  <w:style w:type="paragraph" w:styleId="Textonotapie">
    <w:name w:val="footnote text"/>
    <w:basedOn w:val="Normal"/>
    <w:link w:val="TextonotapieCar"/>
    <w:uiPriority w:val="99"/>
    <w:unhideWhenUsed/>
    <w:rsid w:val="007C559C"/>
    <w:rPr>
      <w:sz w:val="20"/>
      <w:szCs w:val="20"/>
    </w:rPr>
  </w:style>
  <w:style w:type="character" w:customStyle="1" w:styleId="TextonotapieCar">
    <w:name w:val="Texto nota pie Car"/>
    <w:link w:val="Textonotapie"/>
    <w:uiPriority w:val="99"/>
    <w:rsid w:val="007C559C"/>
    <w:rPr>
      <w:lang w:eastAsia="en-US"/>
    </w:rPr>
  </w:style>
  <w:style w:type="character" w:styleId="Refdenotaalpie">
    <w:name w:val="footnote reference"/>
    <w:uiPriority w:val="99"/>
    <w:semiHidden/>
    <w:unhideWhenUsed/>
    <w:rsid w:val="007C559C"/>
    <w:rPr>
      <w:vertAlign w:val="superscript"/>
    </w:rPr>
  </w:style>
  <w:style w:type="character" w:customStyle="1" w:styleId="Ttulo2Car">
    <w:name w:val="Título 2 Car"/>
    <w:link w:val="Ttulo2"/>
    <w:uiPriority w:val="9"/>
    <w:semiHidden/>
    <w:rsid w:val="0066638C"/>
    <w:rPr>
      <w:rFonts w:ascii="Noto Sans" w:eastAsia="Times New Roman" w:hAnsi="Noto Sans" w:cs="Times New Roman"/>
      <w:b/>
      <w:bCs/>
      <w:i/>
      <w:iCs/>
      <w:sz w:val="28"/>
      <w:szCs w:val="28"/>
      <w:lang w:eastAsia="en-US"/>
    </w:rPr>
  </w:style>
  <w:style w:type="paragraph" w:customStyle="1" w:styleId="SUBTITULO2">
    <w:name w:val="SUBTITULO_2"/>
    <w:basedOn w:val="Normal"/>
    <w:next w:val="TEXTONORMAL"/>
    <w:qFormat/>
    <w:rsid w:val="00E70EB0"/>
    <w:pPr>
      <w:spacing w:before="240" w:after="120" w:line="250" w:lineRule="exact"/>
    </w:pPr>
    <w:rPr>
      <w:rFonts w:ascii="Montserrat" w:eastAsia="Batang" w:hAnsi="Montserrat"/>
      <w:b/>
      <w:caps/>
      <w:szCs w:val="18"/>
    </w:rPr>
  </w:style>
  <w:style w:type="table" w:styleId="Tablaconcuadrcula">
    <w:name w:val="Table Grid"/>
    <w:basedOn w:val="Tablanormal"/>
    <w:uiPriority w:val="39"/>
    <w:rsid w:val="0070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B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B2F"/>
    <w:rPr>
      <w:rFonts w:ascii="Tahoma" w:hAnsi="Tahoma" w:cs="Tahoma"/>
      <w:sz w:val="16"/>
      <w:szCs w:val="16"/>
      <w:lang w:eastAsia="en-U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2E0B2F"/>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EC2DBF"/>
    <w:rPr>
      <w:sz w:val="22"/>
      <w:szCs w:val="22"/>
      <w:lang w:eastAsia="en-US"/>
    </w:rPr>
  </w:style>
  <w:style w:type="paragraph" w:customStyle="1" w:styleId="INCISO">
    <w:name w:val="INCISO"/>
    <w:basedOn w:val="Normal"/>
    <w:rsid w:val="00EC2DBF"/>
    <w:pPr>
      <w:spacing w:after="101" w:line="216" w:lineRule="exact"/>
      <w:ind w:left="1080" w:hanging="360"/>
      <w:jc w:val="both"/>
    </w:pPr>
    <w:rPr>
      <w:rFonts w:ascii="Arial" w:eastAsia="Times New Roman" w:hAnsi="Arial" w:cs="Arial"/>
      <w:sz w:val="18"/>
      <w:szCs w:val="18"/>
      <w:lang w:val="es-ES" w:eastAsia="es-ES"/>
    </w:rPr>
  </w:style>
  <w:style w:type="paragraph" w:customStyle="1" w:styleId="Texto">
    <w:name w:val="Texto"/>
    <w:basedOn w:val="Normal"/>
    <w:link w:val="TextoCar"/>
    <w:qFormat/>
    <w:rsid w:val="0004479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44795"/>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35474225">
      <w:bodyDiv w:val="1"/>
      <w:marLeft w:val="0"/>
      <w:marRight w:val="0"/>
      <w:marTop w:val="0"/>
      <w:marBottom w:val="0"/>
      <w:divBdr>
        <w:top w:val="none" w:sz="0" w:space="0" w:color="auto"/>
        <w:left w:val="none" w:sz="0" w:space="0" w:color="auto"/>
        <w:bottom w:val="none" w:sz="0" w:space="0" w:color="auto"/>
        <w:right w:val="none" w:sz="0" w:space="0" w:color="auto"/>
      </w:divBdr>
    </w:div>
    <w:div w:id="76947547">
      <w:bodyDiv w:val="1"/>
      <w:marLeft w:val="0"/>
      <w:marRight w:val="0"/>
      <w:marTop w:val="0"/>
      <w:marBottom w:val="0"/>
      <w:divBdr>
        <w:top w:val="none" w:sz="0" w:space="0" w:color="auto"/>
        <w:left w:val="none" w:sz="0" w:space="0" w:color="auto"/>
        <w:bottom w:val="none" w:sz="0" w:space="0" w:color="auto"/>
        <w:right w:val="none" w:sz="0" w:space="0" w:color="auto"/>
      </w:divBdr>
    </w:div>
    <w:div w:id="87586339">
      <w:bodyDiv w:val="1"/>
      <w:marLeft w:val="0"/>
      <w:marRight w:val="0"/>
      <w:marTop w:val="0"/>
      <w:marBottom w:val="0"/>
      <w:divBdr>
        <w:top w:val="none" w:sz="0" w:space="0" w:color="auto"/>
        <w:left w:val="none" w:sz="0" w:space="0" w:color="auto"/>
        <w:bottom w:val="none" w:sz="0" w:space="0" w:color="auto"/>
        <w:right w:val="none" w:sz="0" w:space="0" w:color="auto"/>
      </w:divBdr>
    </w:div>
    <w:div w:id="89668858">
      <w:bodyDiv w:val="1"/>
      <w:marLeft w:val="0"/>
      <w:marRight w:val="0"/>
      <w:marTop w:val="0"/>
      <w:marBottom w:val="0"/>
      <w:divBdr>
        <w:top w:val="none" w:sz="0" w:space="0" w:color="auto"/>
        <w:left w:val="none" w:sz="0" w:space="0" w:color="auto"/>
        <w:bottom w:val="none" w:sz="0" w:space="0" w:color="auto"/>
        <w:right w:val="none" w:sz="0" w:space="0" w:color="auto"/>
      </w:divBdr>
    </w:div>
    <w:div w:id="108400595">
      <w:bodyDiv w:val="1"/>
      <w:marLeft w:val="0"/>
      <w:marRight w:val="0"/>
      <w:marTop w:val="0"/>
      <w:marBottom w:val="0"/>
      <w:divBdr>
        <w:top w:val="none" w:sz="0" w:space="0" w:color="auto"/>
        <w:left w:val="none" w:sz="0" w:space="0" w:color="auto"/>
        <w:bottom w:val="none" w:sz="0" w:space="0" w:color="auto"/>
        <w:right w:val="none" w:sz="0" w:space="0" w:color="auto"/>
      </w:divBdr>
    </w:div>
    <w:div w:id="128980085">
      <w:bodyDiv w:val="1"/>
      <w:marLeft w:val="0"/>
      <w:marRight w:val="0"/>
      <w:marTop w:val="0"/>
      <w:marBottom w:val="0"/>
      <w:divBdr>
        <w:top w:val="none" w:sz="0" w:space="0" w:color="auto"/>
        <w:left w:val="none" w:sz="0" w:space="0" w:color="auto"/>
        <w:bottom w:val="none" w:sz="0" w:space="0" w:color="auto"/>
        <w:right w:val="none" w:sz="0" w:space="0" w:color="auto"/>
      </w:divBdr>
    </w:div>
    <w:div w:id="153373231">
      <w:bodyDiv w:val="1"/>
      <w:marLeft w:val="0"/>
      <w:marRight w:val="0"/>
      <w:marTop w:val="0"/>
      <w:marBottom w:val="0"/>
      <w:divBdr>
        <w:top w:val="none" w:sz="0" w:space="0" w:color="auto"/>
        <w:left w:val="none" w:sz="0" w:space="0" w:color="auto"/>
        <w:bottom w:val="none" w:sz="0" w:space="0" w:color="auto"/>
        <w:right w:val="none" w:sz="0" w:space="0" w:color="auto"/>
      </w:divBdr>
    </w:div>
    <w:div w:id="172964533">
      <w:bodyDiv w:val="1"/>
      <w:marLeft w:val="0"/>
      <w:marRight w:val="0"/>
      <w:marTop w:val="0"/>
      <w:marBottom w:val="0"/>
      <w:divBdr>
        <w:top w:val="none" w:sz="0" w:space="0" w:color="auto"/>
        <w:left w:val="none" w:sz="0" w:space="0" w:color="auto"/>
        <w:bottom w:val="none" w:sz="0" w:space="0" w:color="auto"/>
        <w:right w:val="none" w:sz="0" w:space="0" w:color="auto"/>
      </w:divBdr>
    </w:div>
    <w:div w:id="180093791">
      <w:bodyDiv w:val="1"/>
      <w:marLeft w:val="0"/>
      <w:marRight w:val="0"/>
      <w:marTop w:val="0"/>
      <w:marBottom w:val="0"/>
      <w:divBdr>
        <w:top w:val="none" w:sz="0" w:space="0" w:color="auto"/>
        <w:left w:val="none" w:sz="0" w:space="0" w:color="auto"/>
        <w:bottom w:val="none" w:sz="0" w:space="0" w:color="auto"/>
        <w:right w:val="none" w:sz="0" w:space="0" w:color="auto"/>
      </w:divBdr>
    </w:div>
    <w:div w:id="185410907">
      <w:bodyDiv w:val="1"/>
      <w:marLeft w:val="0"/>
      <w:marRight w:val="0"/>
      <w:marTop w:val="0"/>
      <w:marBottom w:val="0"/>
      <w:divBdr>
        <w:top w:val="none" w:sz="0" w:space="0" w:color="auto"/>
        <w:left w:val="none" w:sz="0" w:space="0" w:color="auto"/>
        <w:bottom w:val="none" w:sz="0" w:space="0" w:color="auto"/>
        <w:right w:val="none" w:sz="0" w:space="0" w:color="auto"/>
      </w:divBdr>
    </w:div>
    <w:div w:id="207454135">
      <w:bodyDiv w:val="1"/>
      <w:marLeft w:val="0"/>
      <w:marRight w:val="0"/>
      <w:marTop w:val="0"/>
      <w:marBottom w:val="0"/>
      <w:divBdr>
        <w:top w:val="none" w:sz="0" w:space="0" w:color="auto"/>
        <w:left w:val="none" w:sz="0" w:space="0" w:color="auto"/>
        <w:bottom w:val="none" w:sz="0" w:space="0" w:color="auto"/>
        <w:right w:val="none" w:sz="0" w:space="0" w:color="auto"/>
      </w:divBdr>
    </w:div>
    <w:div w:id="226844398">
      <w:bodyDiv w:val="1"/>
      <w:marLeft w:val="0"/>
      <w:marRight w:val="0"/>
      <w:marTop w:val="0"/>
      <w:marBottom w:val="0"/>
      <w:divBdr>
        <w:top w:val="none" w:sz="0" w:space="0" w:color="auto"/>
        <w:left w:val="none" w:sz="0" w:space="0" w:color="auto"/>
        <w:bottom w:val="none" w:sz="0" w:space="0" w:color="auto"/>
        <w:right w:val="none" w:sz="0" w:space="0" w:color="auto"/>
      </w:divBdr>
    </w:div>
    <w:div w:id="250890484">
      <w:bodyDiv w:val="1"/>
      <w:marLeft w:val="0"/>
      <w:marRight w:val="0"/>
      <w:marTop w:val="0"/>
      <w:marBottom w:val="0"/>
      <w:divBdr>
        <w:top w:val="none" w:sz="0" w:space="0" w:color="auto"/>
        <w:left w:val="none" w:sz="0" w:space="0" w:color="auto"/>
        <w:bottom w:val="none" w:sz="0" w:space="0" w:color="auto"/>
        <w:right w:val="none" w:sz="0" w:space="0" w:color="auto"/>
      </w:divBdr>
    </w:div>
    <w:div w:id="263850112">
      <w:bodyDiv w:val="1"/>
      <w:marLeft w:val="0"/>
      <w:marRight w:val="0"/>
      <w:marTop w:val="0"/>
      <w:marBottom w:val="0"/>
      <w:divBdr>
        <w:top w:val="none" w:sz="0" w:space="0" w:color="auto"/>
        <w:left w:val="none" w:sz="0" w:space="0" w:color="auto"/>
        <w:bottom w:val="none" w:sz="0" w:space="0" w:color="auto"/>
        <w:right w:val="none" w:sz="0" w:space="0" w:color="auto"/>
      </w:divBdr>
    </w:div>
    <w:div w:id="281543937">
      <w:bodyDiv w:val="1"/>
      <w:marLeft w:val="0"/>
      <w:marRight w:val="0"/>
      <w:marTop w:val="0"/>
      <w:marBottom w:val="0"/>
      <w:divBdr>
        <w:top w:val="none" w:sz="0" w:space="0" w:color="auto"/>
        <w:left w:val="none" w:sz="0" w:space="0" w:color="auto"/>
        <w:bottom w:val="none" w:sz="0" w:space="0" w:color="auto"/>
        <w:right w:val="none" w:sz="0" w:space="0" w:color="auto"/>
      </w:divBdr>
    </w:div>
    <w:div w:id="318384133">
      <w:bodyDiv w:val="1"/>
      <w:marLeft w:val="0"/>
      <w:marRight w:val="0"/>
      <w:marTop w:val="0"/>
      <w:marBottom w:val="0"/>
      <w:divBdr>
        <w:top w:val="none" w:sz="0" w:space="0" w:color="auto"/>
        <w:left w:val="none" w:sz="0" w:space="0" w:color="auto"/>
        <w:bottom w:val="none" w:sz="0" w:space="0" w:color="auto"/>
        <w:right w:val="none" w:sz="0" w:space="0" w:color="auto"/>
      </w:divBdr>
    </w:div>
    <w:div w:id="326788306">
      <w:bodyDiv w:val="1"/>
      <w:marLeft w:val="0"/>
      <w:marRight w:val="0"/>
      <w:marTop w:val="0"/>
      <w:marBottom w:val="0"/>
      <w:divBdr>
        <w:top w:val="none" w:sz="0" w:space="0" w:color="auto"/>
        <w:left w:val="none" w:sz="0" w:space="0" w:color="auto"/>
        <w:bottom w:val="none" w:sz="0" w:space="0" w:color="auto"/>
        <w:right w:val="none" w:sz="0" w:space="0" w:color="auto"/>
      </w:divBdr>
    </w:div>
    <w:div w:id="399795521">
      <w:bodyDiv w:val="1"/>
      <w:marLeft w:val="0"/>
      <w:marRight w:val="0"/>
      <w:marTop w:val="0"/>
      <w:marBottom w:val="0"/>
      <w:divBdr>
        <w:top w:val="none" w:sz="0" w:space="0" w:color="auto"/>
        <w:left w:val="none" w:sz="0" w:space="0" w:color="auto"/>
        <w:bottom w:val="none" w:sz="0" w:space="0" w:color="auto"/>
        <w:right w:val="none" w:sz="0" w:space="0" w:color="auto"/>
      </w:divBdr>
    </w:div>
    <w:div w:id="417676494">
      <w:bodyDiv w:val="1"/>
      <w:marLeft w:val="0"/>
      <w:marRight w:val="0"/>
      <w:marTop w:val="0"/>
      <w:marBottom w:val="0"/>
      <w:divBdr>
        <w:top w:val="none" w:sz="0" w:space="0" w:color="auto"/>
        <w:left w:val="none" w:sz="0" w:space="0" w:color="auto"/>
        <w:bottom w:val="none" w:sz="0" w:space="0" w:color="auto"/>
        <w:right w:val="none" w:sz="0" w:space="0" w:color="auto"/>
      </w:divBdr>
    </w:div>
    <w:div w:id="417798094">
      <w:bodyDiv w:val="1"/>
      <w:marLeft w:val="0"/>
      <w:marRight w:val="0"/>
      <w:marTop w:val="0"/>
      <w:marBottom w:val="0"/>
      <w:divBdr>
        <w:top w:val="none" w:sz="0" w:space="0" w:color="auto"/>
        <w:left w:val="none" w:sz="0" w:space="0" w:color="auto"/>
        <w:bottom w:val="none" w:sz="0" w:space="0" w:color="auto"/>
        <w:right w:val="none" w:sz="0" w:space="0" w:color="auto"/>
      </w:divBdr>
    </w:div>
    <w:div w:id="420220936">
      <w:bodyDiv w:val="1"/>
      <w:marLeft w:val="0"/>
      <w:marRight w:val="0"/>
      <w:marTop w:val="0"/>
      <w:marBottom w:val="0"/>
      <w:divBdr>
        <w:top w:val="none" w:sz="0" w:space="0" w:color="auto"/>
        <w:left w:val="none" w:sz="0" w:space="0" w:color="auto"/>
        <w:bottom w:val="none" w:sz="0" w:space="0" w:color="auto"/>
        <w:right w:val="none" w:sz="0" w:space="0" w:color="auto"/>
      </w:divBdr>
    </w:div>
    <w:div w:id="450514344">
      <w:bodyDiv w:val="1"/>
      <w:marLeft w:val="0"/>
      <w:marRight w:val="0"/>
      <w:marTop w:val="0"/>
      <w:marBottom w:val="0"/>
      <w:divBdr>
        <w:top w:val="none" w:sz="0" w:space="0" w:color="auto"/>
        <w:left w:val="none" w:sz="0" w:space="0" w:color="auto"/>
        <w:bottom w:val="none" w:sz="0" w:space="0" w:color="auto"/>
        <w:right w:val="none" w:sz="0" w:space="0" w:color="auto"/>
      </w:divBdr>
    </w:div>
    <w:div w:id="466556454">
      <w:bodyDiv w:val="1"/>
      <w:marLeft w:val="0"/>
      <w:marRight w:val="0"/>
      <w:marTop w:val="0"/>
      <w:marBottom w:val="0"/>
      <w:divBdr>
        <w:top w:val="none" w:sz="0" w:space="0" w:color="auto"/>
        <w:left w:val="none" w:sz="0" w:space="0" w:color="auto"/>
        <w:bottom w:val="none" w:sz="0" w:space="0" w:color="auto"/>
        <w:right w:val="none" w:sz="0" w:space="0" w:color="auto"/>
      </w:divBdr>
    </w:div>
    <w:div w:id="501042985">
      <w:bodyDiv w:val="1"/>
      <w:marLeft w:val="0"/>
      <w:marRight w:val="0"/>
      <w:marTop w:val="0"/>
      <w:marBottom w:val="0"/>
      <w:divBdr>
        <w:top w:val="none" w:sz="0" w:space="0" w:color="auto"/>
        <w:left w:val="none" w:sz="0" w:space="0" w:color="auto"/>
        <w:bottom w:val="none" w:sz="0" w:space="0" w:color="auto"/>
        <w:right w:val="none" w:sz="0" w:space="0" w:color="auto"/>
      </w:divBdr>
    </w:div>
    <w:div w:id="504562617">
      <w:bodyDiv w:val="1"/>
      <w:marLeft w:val="0"/>
      <w:marRight w:val="0"/>
      <w:marTop w:val="0"/>
      <w:marBottom w:val="0"/>
      <w:divBdr>
        <w:top w:val="none" w:sz="0" w:space="0" w:color="auto"/>
        <w:left w:val="none" w:sz="0" w:space="0" w:color="auto"/>
        <w:bottom w:val="none" w:sz="0" w:space="0" w:color="auto"/>
        <w:right w:val="none" w:sz="0" w:space="0" w:color="auto"/>
      </w:divBdr>
    </w:div>
    <w:div w:id="548733182">
      <w:bodyDiv w:val="1"/>
      <w:marLeft w:val="0"/>
      <w:marRight w:val="0"/>
      <w:marTop w:val="0"/>
      <w:marBottom w:val="0"/>
      <w:divBdr>
        <w:top w:val="none" w:sz="0" w:space="0" w:color="auto"/>
        <w:left w:val="none" w:sz="0" w:space="0" w:color="auto"/>
        <w:bottom w:val="none" w:sz="0" w:space="0" w:color="auto"/>
        <w:right w:val="none" w:sz="0" w:space="0" w:color="auto"/>
      </w:divBdr>
    </w:div>
    <w:div w:id="560530286">
      <w:bodyDiv w:val="1"/>
      <w:marLeft w:val="0"/>
      <w:marRight w:val="0"/>
      <w:marTop w:val="0"/>
      <w:marBottom w:val="0"/>
      <w:divBdr>
        <w:top w:val="none" w:sz="0" w:space="0" w:color="auto"/>
        <w:left w:val="none" w:sz="0" w:space="0" w:color="auto"/>
        <w:bottom w:val="none" w:sz="0" w:space="0" w:color="auto"/>
        <w:right w:val="none" w:sz="0" w:space="0" w:color="auto"/>
      </w:divBdr>
    </w:div>
    <w:div w:id="569729780">
      <w:bodyDiv w:val="1"/>
      <w:marLeft w:val="0"/>
      <w:marRight w:val="0"/>
      <w:marTop w:val="0"/>
      <w:marBottom w:val="0"/>
      <w:divBdr>
        <w:top w:val="none" w:sz="0" w:space="0" w:color="auto"/>
        <w:left w:val="none" w:sz="0" w:space="0" w:color="auto"/>
        <w:bottom w:val="none" w:sz="0" w:space="0" w:color="auto"/>
        <w:right w:val="none" w:sz="0" w:space="0" w:color="auto"/>
      </w:divBdr>
    </w:div>
    <w:div w:id="612594802">
      <w:bodyDiv w:val="1"/>
      <w:marLeft w:val="0"/>
      <w:marRight w:val="0"/>
      <w:marTop w:val="0"/>
      <w:marBottom w:val="0"/>
      <w:divBdr>
        <w:top w:val="none" w:sz="0" w:space="0" w:color="auto"/>
        <w:left w:val="none" w:sz="0" w:space="0" w:color="auto"/>
        <w:bottom w:val="none" w:sz="0" w:space="0" w:color="auto"/>
        <w:right w:val="none" w:sz="0" w:space="0" w:color="auto"/>
      </w:divBdr>
    </w:div>
    <w:div w:id="657729964">
      <w:bodyDiv w:val="1"/>
      <w:marLeft w:val="0"/>
      <w:marRight w:val="0"/>
      <w:marTop w:val="0"/>
      <w:marBottom w:val="0"/>
      <w:divBdr>
        <w:top w:val="none" w:sz="0" w:space="0" w:color="auto"/>
        <w:left w:val="none" w:sz="0" w:space="0" w:color="auto"/>
        <w:bottom w:val="none" w:sz="0" w:space="0" w:color="auto"/>
        <w:right w:val="none" w:sz="0" w:space="0" w:color="auto"/>
      </w:divBdr>
    </w:div>
    <w:div w:id="685400866">
      <w:bodyDiv w:val="1"/>
      <w:marLeft w:val="0"/>
      <w:marRight w:val="0"/>
      <w:marTop w:val="0"/>
      <w:marBottom w:val="0"/>
      <w:divBdr>
        <w:top w:val="none" w:sz="0" w:space="0" w:color="auto"/>
        <w:left w:val="none" w:sz="0" w:space="0" w:color="auto"/>
        <w:bottom w:val="none" w:sz="0" w:space="0" w:color="auto"/>
        <w:right w:val="none" w:sz="0" w:space="0" w:color="auto"/>
      </w:divBdr>
    </w:div>
    <w:div w:id="695279412">
      <w:bodyDiv w:val="1"/>
      <w:marLeft w:val="0"/>
      <w:marRight w:val="0"/>
      <w:marTop w:val="0"/>
      <w:marBottom w:val="0"/>
      <w:divBdr>
        <w:top w:val="none" w:sz="0" w:space="0" w:color="auto"/>
        <w:left w:val="none" w:sz="0" w:space="0" w:color="auto"/>
        <w:bottom w:val="none" w:sz="0" w:space="0" w:color="auto"/>
        <w:right w:val="none" w:sz="0" w:space="0" w:color="auto"/>
      </w:divBdr>
    </w:div>
    <w:div w:id="708992824">
      <w:bodyDiv w:val="1"/>
      <w:marLeft w:val="0"/>
      <w:marRight w:val="0"/>
      <w:marTop w:val="0"/>
      <w:marBottom w:val="0"/>
      <w:divBdr>
        <w:top w:val="none" w:sz="0" w:space="0" w:color="auto"/>
        <w:left w:val="none" w:sz="0" w:space="0" w:color="auto"/>
        <w:bottom w:val="none" w:sz="0" w:space="0" w:color="auto"/>
        <w:right w:val="none" w:sz="0" w:space="0" w:color="auto"/>
      </w:divBdr>
    </w:div>
    <w:div w:id="713776715">
      <w:bodyDiv w:val="1"/>
      <w:marLeft w:val="0"/>
      <w:marRight w:val="0"/>
      <w:marTop w:val="0"/>
      <w:marBottom w:val="0"/>
      <w:divBdr>
        <w:top w:val="none" w:sz="0" w:space="0" w:color="auto"/>
        <w:left w:val="none" w:sz="0" w:space="0" w:color="auto"/>
        <w:bottom w:val="none" w:sz="0" w:space="0" w:color="auto"/>
        <w:right w:val="none" w:sz="0" w:space="0" w:color="auto"/>
      </w:divBdr>
    </w:div>
    <w:div w:id="736249672">
      <w:bodyDiv w:val="1"/>
      <w:marLeft w:val="0"/>
      <w:marRight w:val="0"/>
      <w:marTop w:val="0"/>
      <w:marBottom w:val="0"/>
      <w:divBdr>
        <w:top w:val="none" w:sz="0" w:space="0" w:color="auto"/>
        <w:left w:val="none" w:sz="0" w:space="0" w:color="auto"/>
        <w:bottom w:val="none" w:sz="0" w:space="0" w:color="auto"/>
        <w:right w:val="none" w:sz="0" w:space="0" w:color="auto"/>
      </w:divBdr>
    </w:div>
    <w:div w:id="754401731">
      <w:bodyDiv w:val="1"/>
      <w:marLeft w:val="0"/>
      <w:marRight w:val="0"/>
      <w:marTop w:val="0"/>
      <w:marBottom w:val="0"/>
      <w:divBdr>
        <w:top w:val="none" w:sz="0" w:space="0" w:color="auto"/>
        <w:left w:val="none" w:sz="0" w:space="0" w:color="auto"/>
        <w:bottom w:val="none" w:sz="0" w:space="0" w:color="auto"/>
        <w:right w:val="none" w:sz="0" w:space="0" w:color="auto"/>
      </w:divBdr>
    </w:div>
    <w:div w:id="781387119">
      <w:bodyDiv w:val="1"/>
      <w:marLeft w:val="0"/>
      <w:marRight w:val="0"/>
      <w:marTop w:val="0"/>
      <w:marBottom w:val="0"/>
      <w:divBdr>
        <w:top w:val="none" w:sz="0" w:space="0" w:color="auto"/>
        <w:left w:val="none" w:sz="0" w:space="0" w:color="auto"/>
        <w:bottom w:val="none" w:sz="0" w:space="0" w:color="auto"/>
        <w:right w:val="none" w:sz="0" w:space="0" w:color="auto"/>
      </w:divBdr>
    </w:div>
    <w:div w:id="812212020">
      <w:bodyDiv w:val="1"/>
      <w:marLeft w:val="0"/>
      <w:marRight w:val="0"/>
      <w:marTop w:val="0"/>
      <w:marBottom w:val="0"/>
      <w:divBdr>
        <w:top w:val="none" w:sz="0" w:space="0" w:color="auto"/>
        <w:left w:val="none" w:sz="0" w:space="0" w:color="auto"/>
        <w:bottom w:val="none" w:sz="0" w:space="0" w:color="auto"/>
        <w:right w:val="none" w:sz="0" w:space="0" w:color="auto"/>
      </w:divBdr>
    </w:div>
    <w:div w:id="887843763">
      <w:bodyDiv w:val="1"/>
      <w:marLeft w:val="0"/>
      <w:marRight w:val="0"/>
      <w:marTop w:val="0"/>
      <w:marBottom w:val="0"/>
      <w:divBdr>
        <w:top w:val="none" w:sz="0" w:space="0" w:color="auto"/>
        <w:left w:val="none" w:sz="0" w:space="0" w:color="auto"/>
        <w:bottom w:val="none" w:sz="0" w:space="0" w:color="auto"/>
        <w:right w:val="none" w:sz="0" w:space="0" w:color="auto"/>
      </w:divBdr>
    </w:div>
    <w:div w:id="895360745">
      <w:bodyDiv w:val="1"/>
      <w:marLeft w:val="0"/>
      <w:marRight w:val="0"/>
      <w:marTop w:val="0"/>
      <w:marBottom w:val="0"/>
      <w:divBdr>
        <w:top w:val="none" w:sz="0" w:space="0" w:color="auto"/>
        <w:left w:val="none" w:sz="0" w:space="0" w:color="auto"/>
        <w:bottom w:val="none" w:sz="0" w:space="0" w:color="auto"/>
        <w:right w:val="none" w:sz="0" w:space="0" w:color="auto"/>
      </w:divBdr>
    </w:div>
    <w:div w:id="928851155">
      <w:bodyDiv w:val="1"/>
      <w:marLeft w:val="0"/>
      <w:marRight w:val="0"/>
      <w:marTop w:val="0"/>
      <w:marBottom w:val="0"/>
      <w:divBdr>
        <w:top w:val="none" w:sz="0" w:space="0" w:color="auto"/>
        <w:left w:val="none" w:sz="0" w:space="0" w:color="auto"/>
        <w:bottom w:val="none" w:sz="0" w:space="0" w:color="auto"/>
        <w:right w:val="none" w:sz="0" w:space="0" w:color="auto"/>
      </w:divBdr>
    </w:div>
    <w:div w:id="937912928">
      <w:bodyDiv w:val="1"/>
      <w:marLeft w:val="0"/>
      <w:marRight w:val="0"/>
      <w:marTop w:val="0"/>
      <w:marBottom w:val="0"/>
      <w:divBdr>
        <w:top w:val="none" w:sz="0" w:space="0" w:color="auto"/>
        <w:left w:val="none" w:sz="0" w:space="0" w:color="auto"/>
        <w:bottom w:val="none" w:sz="0" w:space="0" w:color="auto"/>
        <w:right w:val="none" w:sz="0" w:space="0" w:color="auto"/>
      </w:divBdr>
    </w:div>
    <w:div w:id="962659673">
      <w:bodyDiv w:val="1"/>
      <w:marLeft w:val="0"/>
      <w:marRight w:val="0"/>
      <w:marTop w:val="0"/>
      <w:marBottom w:val="0"/>
      <w:divBdr>
        <w:top w:val="none" w:sz="0" w:space="0" w:color="auto"/>
        <w:left w:val="none" w:sz="0" w:space="0" w:color="auto"/>
        <w:bottom w:val="none" w:sz="0" w:space="0" w:color="auto"/>
        <w:right w:val="none" w:sz="0" w:space="0" w:color="auto"/>
      </w:divBdr>
    </w:div>
    <w:div w:id="994913116">
      <w:bodyDiv w:val="1"/>
      <w:marLeft w:val="0"/>
      <w:marRight w:val="0"/>
      <w:marTop w:val="0"/>
      <w:marBottom w:val="0"/>
      <w:divBdr>
        <w:top w:val="none" w:sz="0" w:space="0" w:color="auto"/>
        <w:left w:val="none" w:sz="0" w:space="0" w:color="auto"/>
        <w:bottom w:val="none" w:sz="0" w:space="0" w:color="auto"/>
        <w:right w:val="none" w:sz="0" w:space="0" w:color="auto"/>
      </w:divBdr>
    </w:div>
    <w:div w:id="1105732168">
      <w:bodyDiv w:val="1"/>
      <w:marLeft w:val="0"/>
      <w:marRight w:val="0"/>
      <w:marTop w:val="0"/>
      <w:marBottom w:val="0"/>
      <w:divBdr>
        <w:top w:val="none" w:sz="0" w:space="0" w:color="auto"/>
        <w:left w:val="none" w:sz="0" w:space="0" w:color="auto"/>
        <w:bottom w:val="none" w:sz="0" w:space="0" w:color="auto"/>
        <w:right w:val="none" w:sz="0" w:space="0" w:color="auto"/>
      </w:divBdr>
    </w:div>
    <w:div w:id="1114444521">
      <w:bodyDiv w:val="1"/>
      <w:marLeft w:val="0"/>
      <w:marRight w:val="0"/>
      <w:marTop w:val="0"/>
      <w:marBottom w:val="0"/>
      <w:divBdr>
        <w:top w:val="none" w:sz="0" w:space="0" w:color="auto"/>
        <w:left w:val="none" w:sz="0" w:space="0" w:color="auto"/>
        <w:bottom w:val="none" w:sz="0" w:space="0" w:color="auto"/>
        <w:right w:val="none" w:sz="0" w:space="0" w:color="auto"/>
      </w:divBdr>
    </w:div>
    <w:div w:id="1144615534">
      <w:bodyDiv w:val="1"/>
      <w:marLeft w:val="0"/>
      <w:marRight w:val="0"/>
      <w:marTop w:val="0"/>
      <w:marBottom w:val="0"/>
      <w:divBdr>
        <w:top w:val="none" w:sz="0" w:space="0" w:color="auto"/>
        <w:left w:val="none" w:sz="0" w:space="0" w:color="auto"/>
        <w:bottom w:val="none" w:sz="0" w:space="0" w:color="auto"/>
        <w:right w:val="none" w:sz="0" w:space="0" w:color="auto"/>
      </w:divBdr>
    </w:div>
    <w:div w:id="1161892726">
      <w:bodyDiv w:val="1"/>
      <w:marLeft w:val="0"/>
      <w:marRight w:val="0"/>
      <w:marTop w:val="0"/>
      <w:marBottom w:val="0"/>
      <w:divBdr>
        <w:top w:val="none" w:sz="0" w:space="0" w:color="auto"/>
        <w:left w:val="none" w:sz="0" w:space="0" w:color="auto"/>
        <w:bottom w:val="none" w:sz="0" w:space="0" w:color="auto"/>
        <w:right w:val="none" w:sz="0" w:space="0" w:color="auto"/>
      </w:divBdr>
    </w:div>
    <w:div w:id="1174800516">
      <w:bodyDiv w:val="1"/>
      <w:marLeft w:val="0"/>
      <w:marRight w:val="0"/>
      <w:marTop w:val="0"/>
      <w:marBottom w:val="0"/>
      <w:divBdr>
        <w:top w:val="none" w:sz="0" w:space="0" w:color="auto"/>
        <w:left w:val="none" w:sz="0" w:space="0" w:color="auto"/>
        <w:bottom w:val="none" w:sz="0" w:space="0" w:color="auto"/>
        <w:right w:val="none" w:sz="0" w:space="0" w:color="auto"/>
      </w:divBdr>
    </w:div>
    <w:div w:id="1250382211">
      <w:bodyDiv w:val="1"/>
      <w:marLeft w:val="0"/>
      <w:marRight w:val="0"/>
      <w:marTop w:val="0"/>
      <w:marBottom w:val="0"/>
      <w:divBdr>
        <w:top w:val="none" w:sz="0" w:space="0" w:color="auto"/>
        <w:left w:val="none" w:sz="0" w:space="0" w:color="auto"/>
        <w:bottom w:val="none" w:sz="0" w:space="0" w:color="auto"/>
        <w:right w:val="none" w:sz="0" w:space="0" w:color="auto"/>
      </w:divBdr>
    </w:div>
    <w:div w:id="1254127336">
      <w:bodyDiv w:val="1"/>
      <w:marLeft w:val="0"/>
      <w:marRight w:val="0"/>
      <w:marTop w:val="0"/>
      <w:marBottom w:val="0"/>
      <w:divBdr>
        <w:top w:val="none" w:sz="0" w:space="0" w:color="auto"/>
        <w:left w:val="none" w:sz="0" w:space="0" w:color="auto"/>
        <w:bottom w:val="none" w:sz="0" w:space="0" w:color="auto"/>
        <w:right w:val="none" w:sz="0" w:space="0" w:color="auto"/>
      </w:divBdr>
    </w:div>
    <w:div w:id="1280837120">
      <w:bodyDiv w:val="1"/>
      <w:marLeft w:val="0"/>
      <w:marRight w:val="0"/>
      <w:marTop w:val="0"/>
      <w:marBottom w:val="0"/>
      <w:divBdr>
        <w:top w:val="none" w:sz="0" w:space="0" w:color="auto"/>
        <w:left w:val="none" w:sz="0" w:space="0" w:color="auto"/>
        <w:bottom w:val="none" w:sz="0" w:space="0" w:color="auto"/>
        <w:right w:val="none" w:sz="0" w:space="0" w:color="auto"/>
      </w:divBdr>
    </w:div>
    <w:div w:id="1281254463">
      <w:bodyDiv w:val="1"/>
      <w:marLeft w:val="0"/>
      <w:marRight w:val="0"/>
      <w:marTop w:val="0"/>
      <w:marBottom w:val="0"/>
      <w:divBdr>
        <w:top w:val="none" w:sz="0" w:space="0" w:color="auto"/>
        <w:left w:val="none" w:sz="0" w:space="0" w:color="auto"/>
        <w:bottom w:val="none" w:sz="0" w:space="0" w:color="auto"/>
        <w:right w:val="none" w:sz="0" w:space="0" w:color="auto"/>
      </w:divBdr>
    </w:div>
    <w:div w:id="1286962212">
      <w:bodyDiv w:val="1"/>
      <w:marLeft w:val="0"/>
      <w:marRight w:val="0"/>
      <w:marTop w:val="0"/>
      <w:marBottom w:val="0"/>
      <w:divBdr>
        <w:top w:val="none" w:sz="0" w:space="0" w:color="auto"/>
        <w:left w:val="none" w:sz="0" w:space="0" w:color="auto"/>
        <w:bottom w:val="none" w:sz="0" w:space="0" w:color="auto"/>
        <w:right w:val="none" w:sz="0" w:space="0" w:color="auto"/>
      </w:divBdr>
    </w:div>
    <w:div w:id="1304580520">
      <w:bodyDiv w:val="1"/>
      <w:marLeft w:val="0"/>
      <w:marRight w:val="0"/>
      <w:marTop w:val="0"/>
      <w:marBottom w:val="0"/>
      <w:divBdr>
        <w:top w:val="none" w:sz="0" w:space="0" w:color="auto"/>
        <w:left w:val="none" w:sz="0" w:space="0" w:color="auto"/>
        <w:bottom w:val="none" w:sz="0" w:space="0" w:color="auto"/>
        <w:right w:val="none" w:sz="0" w:space="0" w:color="auto"/>
      </w:divBdr>
    </w:div>
    <w:div w:id="1314330280">
      <w:bodyDiv w:val="1"/>
      <w:marLeft w:val="0"/>
      <w:marRight w:val="0"/>
      <w:marTop w:val="0"/>
      <w:marBottom w:val="0"/>
      <w:divBdr>
        <w:top w:val="none" w:sz="0" w:space="0" w:color="auto"/>
        <w:left w:val="none" w:sz="0" w:space="0" w:color="auto"/>
        <w:bottom w:val="none" w:sz="0" w:space="0" w:color="auto"/>
        <w:right w:val="none" w:sz="0" w:space="0" w:color="auto"/>
      </w:divBdr>
    </w:div>
    <w:div w:id="1334382549">
      <w:bodyDiv w:val="1"/>
      <w:marLeft w:val="0"/>
      <w:marRight w:val="0"/>
      <w:marTop w:val="0"/>
      <w:marBottom w:val="0"/>
      <w:divBdr>
        <w:top w:val="none" w:sz="0" w:space="0" w:color="auto"/>
        <w:left w:val="none" w:sz="0" w:space="0" w:color="auto"/>
        <w:bottom w:val="none" w:sz="0" w:space="0" w:color="auto"/>
        <w:right w:val="none" w:sz="0" w:space="0" w:color="auto"/>
      </w:divBdr>
    </w:div>
    <w:div w:id="1335181538">
      <w:bodyDiv w:val="1"/>
      <w:marLeft w:val="0"/>
      <w:marRight w:val="0"/>
      <w:marTop w:val="0"/>
      <w:marBottom w:val="0"/>
      <w:divBdr>
        <w:top w:val="none" w:sz="0" w:space="0" w:color="auto"/>
        <w:left w:val="none" w:sz="0" w:space="0" w:color="auto"/>
        <w:bottom w:val="none" w:sz="0" w:space="0" w:color="auto"/>
        <w:right w:val="none" w:sz="0" w:space="0" w:color="auto"/>
      </w:divBdr>
    </w:div>
    <w:div w:id="1407024541">
      <w:bodyDiv w:val="1"/>
      <w:marLeft w:val="0"/>
      <w:marRight w:val="0"/>
      <w:marTop w:val="0"/>
      <w:marBottom w:val="0"/>
      <w:divBdr>
        <w:top w:val="none" w:sz="0" w:space="0" w:color="auto"/>
        <w:left w:val="none" w:sz="0" w:space="0" w:color="auto"/>
        <w:bottom w:val="none" w:sz="0" w:space="0" w:color="auto"/>
        <w:right w:val="none" w:sz="0" w:space="0" w:color="auto"/>
      </w:divBdr>
    </w:div>
    <w:div w:id="1459490057">
      <w:bodyDiv w:val="1"/>
      <w:marLeft w:val="0"/>
      <w:marRight w:val="0"/>
      <w:marTop w:val="0"/>
      <w:marBottom w:val="0"/>
      <w:divBdr>
        <w:top w:val="none" w:sz="0" w:space="0" w:color="auto"/>
        <w:left w:val="none" w:sz="0" w:space="0" w:color="auto"/>
        <w:bottom w:val="none" w:sz="0" w:space="0" w:color="auto"/>
        <w:right w:val="none" w:sz="0" w:space="0" w:color="auto"/>
      </w:divBdr>
    </w:div>
    <w:div w:id="1465123802">
      <w:bodyDiv w:val="1"/>
      <w:marLeft w:val="0"/>
      <w:marRight w:val="0"/>
      <w:marTop w:val="0"/>
      <w:marBottom w:val="0"/>
      <w:divBdr>
        <w:top w:val="none" w:sz="0" w:space="0" w:color="auto"/>
        <w:left w:val="none" w:sz="0" w:space="0" w:color="auto"/>
        <w:bottom w:val="none" w:sz="0" w:space="0" w:color="auto"/>
        <w:right w:val="none" w:sz="0" w:space="0" w:color="auto"/>
      </w:divBdr>
    </w:div>
    <w:div w:id="1483892269">
      <w:bodyDiv w:val="1"/>
      <w:marLeft w:val="0"/>
      <w:marRight w:val="0"/>
      <w:marTop w:val="0"/>
      <w:marBottom w:val="0"/>
      <w:divBdr>
        <w:top w:val="none" w:sz="0" w:space="0" w:color="auto"/>
        <w:left w:val="none" w:sz="0" w:space="0" w:color="auto"/>
        <w:bottom w:val="none" w:sz="0" w:space="0" w:color="auto"/>
        <w:right w:val="none" w:sz="0" w:space="0" w:color="auto"/>
      </w:divBdr>
    </w:div>
    <w:div w:id="1507557211">
      <w:bodyDiv w:val="1"/>
      <w:marLeft w:val="0"/>
      <w:marRight w:val="0"/>
      <w:marTop w:val="0"/>
      <w:marBottom w:val="0"/>
      <w:divBdr>
        <w:top w:val="none" w:sz="0" w:space="0" w:color="auto"/>
        <w:left w:val="none" w:sz="0" w:space="0" w:color="auto"/>
        <w:bottom w:val="none" w:sz="0" w:space="0" w:color="auto"/>
        <w:right w:val="none" w:sz="0" w:space="0" w:color="auto"/>
      </w:divBdr>
    </w:div>
    <w:div w:id="1522012979">
      <w:bodyDiv w:val="1"/>
      <w:marLeft w:val="0"/>
      <w:marRight w:val="0"/>
      <w:marTop w:val="0"/>
      <w:marBottom w:val="0"/>
      <w:divBdr>
        <w:top w:val="none" w:sz="0" w:space="0" w:color="auto"/>
        <w:left w:val="none" w:sz="0" w:space="0" w:color="auto"/>
        <w:bottom w:val="none" w:sz="0" w:space="0" w:color="auto"/>
        <w:right w:val="none" w:sz="0" w:space="0" w:color="auto"/>
      </w:divBdr>
    </w:div>
    <w:div w:id="1534227147">
      <w:bodyDiv w:val="1"/>
      <w:marLeft w:val="0"/>
      <w:marRight w:val="0"/>
      <w:marTop w:val="0"/>
      <w:marBottom w:val="0"/>
      <w:divBdr>
        <w:top w:val="none" w:sz="0" w:space="0" w:color="auto"/>
        <w:left w:val="none" w:sz="0" w:space="0" w:color="auto"/>
        <w:bottom w:val="none" w:sz="0" w:space="0" w:color="auto"/>
        <w:right w:val="none" w:sz="0" w:space="0" w:color="auto"/>
      </w:divBdr>
    </w:div>
    <w:div w:id="1555192819">
      <w:bodyDiv w:val="1"/>
      <w:marLeft w:val="0"/>
      <w:marRight w:val="0"/>
      <w:marTop w:val="0"/>
      <w:marBottom w:val="0"/>
      <w:divBdr>
        <w:top w:val="none" w:sz="0" w:space="0" w:color="auto"/>
        <w:left w:val="none" w:sz="0" w:space="0" w:color="auto"/>
        <w:bottom w:val="none" w:sz="0" w:space="0" w:color="auto"/>
        <w:right w:val="none" w:sz="0" w:space="0" w:color="auto"/>
      </w:divBdr>
    </w:div>
    <w:div w:id="1608387234">
      <w:bodyDiv w:val="1"/>
      <w:marLeft w:val="0"/>
      <w:marRight w:val="0"/>
      <w:marTop w:val="0"/>
      <w:marBottom w:val="0"/>
      <w:divBdr>
        <w:top w:val="none" w:sz="0" w:space="0" w:color="auto"/>
        <w:left w:val="none" w:sz="0" w:space="0" w:color="auto"/>
        <w:bottom w:val="none" w:sz="0" w:space="0" w:color="auto"/>
        <w:right w:val="none" w:sz="0" w:space="0" w:color="auto"/>
      </w:divBdr>
    </w:div>
    <w:div w:id="1609002145">
      <w:bodyDiv w:val="1"/>
      <w:marLeft w:val="0"/>
      <w:marRight w:val="0"/>
      <w:marTop w:val="0"/>
      <w:marBottom w:val="0"/>
      <w:divBdr>
        <w:top w:val="none" w:sz="0" w:space="0" w:color="auto"/>
        <w:left w:val="none" w:sz="0" w:space="0" w:color="auto"/>
        <w:bottom w:val="none" w:sz="0" w:space="0" w:color="auto"/>
        <w:right w:val="none" w:sz="0" w:space="0" w:color="auto"/>
      </w:divBdr>
    </w:div>
    <w:div w:id="1611743657">
      <w:bodyDiv w:val="1"/>
      <w:marLeft w:val="0"/>
      <w:marRight w:val="0"/>
      <w:marTop w:val="0"/>
      <w:marBottom w:val="0"/>
      <w:divBdr>
        <w:top w:val="none" w:sz="0" w:space="0" w:color="auto"/>
        <w:left w:val="none" w:sz="0" w:space="0" w:color="auto"/>
        <w:bottom w:val="none" w:sz="0" w:space="0" w:color="auto"/>
        <w:right w:val="none" w:sz="0" w:space="0" w:color="auto"/>
      </w:divBdr>
    </w:div>
    <w:div w:id="1650279198">
      <w:bodyDiv w:val="1"/>
      <w:marLeft w:val="0"/>
      <w:marRight w:val="0"/>
      <w:marTop w:val="0"/>
      <w:marBottom w:val="0"/>
      <w:divBdr>
        <w:top w:val="none" w:sz="0" w:space="0" w:color="auto"/>
        <w:left w:val="none" w:sz="0" w:space="0" w:color="auto"/>
        <w:bottom w:val="none" w:sz="0" w:space="0" w:color="auto"/>
        <w:right w:val="none" w:sz="0" w:space="0" w:color="auto"/>
      </w:divBdr>
    </w:div>
    <w:div w:id="1686521197">
      <w:bodyDiv w:val="1"/>
      <w:marLeft w:val="0"/>
      <w:marRight w:val="0"/>
      <w:marTop w:val="0"/>
      <w:marBottom w:val="0"/>
      <w:divBdr>
        <w:top w:val="none" w:sz="0" w:space="0" w:color="auto"/>
        <w:left w:val="none" w:sz="0" w:space="0" w:color="auto"/>
        <w:bottom w:val="none" w:sz="0" w:space="0" w:color="auto"/>
        <w:right w:val="none" w:sz="0" w:space="0" w:color="auto"/>
      </w:divBdr>
    </w:div>
    <w:div w:id="1718823205">
      <w:bodyDiv w:val="1"/>
      <w:marLeft w:val="0"/>
      <w:marRight w:val="0"/>
      <w:marTop w:val="0"/>
      <w:marBottom w:val="0"/>
      <w:divBdr>
        <w:top w:val="none" w:sz="0" w:space="0" w:color="auto"/>
        <w:left w:val="none" w:sz="0" w:space="0" w:color="auto"/>
        <w:bottom w:val="none" w:sz="0" w:space="0" w:color="auto"/>
        <w:right w:val="none" w:sz="0" w:space="0" w:color="auto"/>
      </w:divBdr>
    </w:div>
    <w:div w:id="1720284415">
      <w:bodyDiv w:val="1"/>
      <w:marLeft w:val="0"/>
      <w:marRight w:val="0"/>
      <w:marTop w:val="0"/>
      <w:marBottom w:val="0"/>
      <w:divBdr>
        <w:top w:val="none" w:sz="0" w:space="0" w:color="auto"/>
        <w:left w:val="none" w:sz="0" w:space="0" w:color="auto"/>
        <w:bottom w:val="none" w:sz="0" w:space="0" w:color="auto"/>
        <w:right w:val="none" w:sz="0" w:space="0" w:color="auto"/>
      </w:divBdr>
    </w:div>
    <w:div w:id="1770815397">
      <w:bodyDiv w:val="1"/>
      <w:marLeft w:val="0"/>
      <w:marRight w:val="0"/>
      <w:marTop w:val="0"/>
      <w:marBottom w:val="0"/>
      <w:divBdr>
        <w:top w:val="none" w:sz="0" w:space="0" w:color="auto"/>
        <w:left w:val="none" w:sz="0" w:space="0" w:color="auto"/>
        <w:bottom w:val="none" w:sz="0" w:space="0" w:color="auto"/>
        <w:right w:val="none" w:sz="0" w:space="0" w:color="auto"/>
      </w:divBdr>
    </w:div>
    <w:div w:id="1785878341">
      <w:bodyDiv w:val="1"/>
      <w:marLeft w:val="0"/>
      <w:marRight w:val="0"/>
      <w:marTop w:val="0"/>
      <w:marBottom w:val="0"/>
      <w:divBdr>
        <w:top w:val="none" w:sz="0" w:space="0" w:color="auto"/>
        <w:left w:val="none" w:sz="0" w:space="0" w:color="auto"/>
        <w:bottom w:val="none" w:sz="0" w:space="0" w:color="auto"/>
        <w:right w:val="none" w:sz="0" w:space="0" w:color="auto"/>
      </w:divBdr>
    </w:div>
    <w:div w:id="1791434003">
      <w:bodyDiv w:val="1"/>
      <w:marLeft w:val="0"/>
      <w:marRight w:val="0"/>
      <w:marTop w:val="0"/>
      <w:marBottom w:val="0"/>
      <w:divBdr>
        <w:top w:val="none" w:sz="0" w:space="0" w:color="auto"/>
        <w:left w:val="none" w:sz="0" w:space="0" w:color="auto"/>
        <w:bottom w:val="none" w:sz="0" w:space="0" w:color="auto"/>
        <w:right w:val="none" w:sz="0" w:space="0" w:color="auto"/>
      </w:divBdr>
    </w:div>
    <w:div w:id="1795708504">
      <w:bodyDiv w:val="1"/>
      <w:marLeft w:val="0"/>
      <w:marRight w:val="0"/>
      <w:marTop w:val="0"/>
      <w:marBottom w:val="0"/>
      <w:divBdr>
        <w:top w:val="none" w:sz="0" w:space="0" w:color="auto"/>
        <w:left w:val="none" w:sz="0" w:space="0" w:color="auto"/>
        <w:bottom w:val="none" w:sz="0" w:space="0" w:color="auto"/>
        <w:right w:val="none" w:sz="0" w:space="0" w:color="auto"/>
      </w:divBdr>
    </w:div>
    <w:div w:id="1797017172">
      <w:bodyDiv w:val="1"/>
      <w:marLeft w:val="0"/>
      <w:marRight w:val="0"/>
      <w:marTop w:val="0"/>
      <w:marBottom w:val="0"/>
      <w:divBdr>
        <w:top w:val="none" w:sz="0" w:space="0" w:color="auto"/>
        <w:left w:val="none" w:sz="0" w:space="0" w:color="auto"/>
        <w:bottom w:val="none" w:sz="0" w:space="0" w:color="auto"/>
        <w:right w:val="none" w:sz="0" w:space="0" w:color="auto"/>
      </w:divBdr>
    </w:div>
    <w:div w:id="1823739677">
      <w:bodyDiv w:val="1"/>
      <w:marLeft w:val="0"/>
      <w:marRight w:val="0"/>
      <w:marTop w:val="0"/>
      <w:marBottom w:val="0"/>
      <w:divBdr>
        <w:top w:val="none" w:sz="0" w:space="0" w:color="auto"/>
        <w:left w:val="none" w:sz="0" w:space="0" w:color="auto"/>
        <w:bottom w:val="none" w:sz="0" w:space="0" w:color="auto"/>
        <w:right w:val="none" w:sz="0" w:space="0" w:color="auto"/>
      </w:divBdr>
    </w:div>
    <w:div w:id="1831747861">
      <w:bodyDiv w:val="1"/>
      <w:marLeft w:val="0"/>
      <w:marRight w:val="0"/>
      <w:marTop w:val="0"/>
      <w:marBottom w:val="0"/>
      <w:divBdr>
        <w:top w:val="none" w:sz="0" w:space="0" w:color="auto"/>
        <w:left w:val="none" w:sz="0" w:space="0" w:color="auto"/>
        <w:bottom w:val="none" w:sz="0" w:space="0" w:color="auto"/>
        <w:right w:val="none" w:sz="0" w:space="0" w:color="auto"/>
      </w:divBdr>
    </w:div>
    <w:div w:id="1847285045">
      <w:bodyDiv w:val="1"/>
      <w:marLeft w:val="0"/>
      <w:marRight w:val="0"/>
      <w:marTop w:val="0"/>
      <w:marBottom w:val="0"/>
      <w:divBdr>
        <w:top w:val="none" w:sz="0" w:space="0" w:color="auto"/>
        <w:left w:val="none" w:sz="0" w:space="0" w:color="auto"/>
        <w:bottom w:val="none" w:sz="0" w:space="0" w:color="auto"/>
        <w:right w:val="none" w:sz="0" w:space="0" w:color="auto"/>
      </w:divBdr>
    </w:div>
    <w:div w:id="1850019882">
      <w:bodyDiv w:val="1"/>
      <w:marLeft w:val="0"/>
      <w:marRight w:val="0"/>
      <w:marTop w:val="0"/>
      <w:marBottom w:val="0"/>
      <w:divBdr>
        <w:top w:val="none" w:sz="0" w:space="0" w:color="auto"/>
        <w:left w:val="none" w:sz="0" w:space="0" w:color="auto"/>
        <w:bottom w:val="none" w:sz="0" w:space="0" w:color="auto"/>
        <w:right w:val="none" w:sz="0" w:space="0" w:color="auto"/>
      </w:divBdr>
    </w:div>
    <w:div w:id="1993217281">
      <w:bodyDiv w:val="1"/>
      <w:marLeft w:val="0"/>
      <w:marRight w:val="0"/>
      <w:marTop w:val="0"/>
      <w:marBottom w:val="0"/>
      <w:divBdr>
        <w:top w:val="none" w:sz="0" w:space="0" w:color="auto"/>
        <w:left w:val="none" w:sz="0" w:space="0" w:color="auto"/>
        <w:bottom w:val="none" w:sz="0" w:space="0" w:color="auto"/>
        <w:right w:val="none" w:sz="0" w:space="0" w:color="auto"/>
      </w:divBdr>
    </w:div>
    <w:div w:id="2002392819">
      <w:bodyDiv w:val="1"/>
      <w:marLeft w:val="0"/>
      <w:marRight w:val="0"/>
      <w:marTop w:val="0"/>
      <w:marBottom w:val="0"/>
      <w:divBdr>
        <w:top w:val="none" w:sz="0" w:space="0" w:color="auto"/>
        <w:left w:val="none" w:sz="0" w:space="0" w:color="auto"/>
        <w:bottom w:val="none" w:sz="0" w:space="0" w:color="auto"/>
        <w:right w:val="none" w:sz="0" w:space="0" w:color="auto"/>
      </w:divBdr>
    </w:div>
    <w:div w:id="2003729760">
      <w:bodyDiv w:val="1"/>
      <w:marLeft w:val="0"/>
      <w:marRight w:val="0"/>
      <w:marTop w:val="0"/>
      <w:marBottom w:val="0"/>
      <w:divBdr>
        <w:top w:val="none" w:sz="0" w:space="0" w:color="auto"/>
        <w:left w:val="none" w:sz="0" w:space="0" w:color="auto"/>
        <w:bottom w:val="none" w:sz="0" w:space="0" w:color="auto"/>
        <w:right w:val="none" w:sz="0" w:space="0" w:color="auto"/>
      </w:divBdr>
    </w:div>
    <w:div w:id="2018579548">
      <w:bodyDiv w:val="1"/>
      <w:marLeft w:val="0"/>
      <w:marRight w:val="0"/>
      <w:marTop w:val="0"/>
      <w:marBottom w:val="0"/>
      <w:divBdr>
        <w:top w:val="none" w:sz="0" w:space="0" w:color="auto"/>
        <w:left w:val="none" w:sz="0" w:space="0" w:color="auto"/>
        <w:bottom w:val="none" w:sz="0" w:space="0" w:color="auto"/>
        <w:right w:val="none" w:sz="0" w:space="0" w:color="auto"/>
      </w:divBdr>
    </w:div>
    <w:div w:id="2019573936">
      <w:bodyDiv w:val="1"/>
      <w:marLeft w:val="0"/>
      <w:marRight w:val="0"/>
      <w:marTop w:val="0"/>
      <w:marBottom w:val="0"/>
      <w:divBdr>
        <w:top w:val="none" w:sz="0" w:space="0" w:color="auto"/>
        <w:left w:val="none" w:sz="0" w:space="0" w:color="auto"/>
        <w:bottom w:val="none" w:sz="0" w:space="0" w:color="auto"/>
        <w:right w:val="none" w:sz="0" w:space="0" w:color="auto"/>
      </w:divBdr>
    </w:div>
    <w:div w:id="2058235533">
      <w:bodyDiv w:val="1"/>
      <w:marLeft w:val="0"/>
      <w:marRight w:val="0"/>
      <w:marTop w:val="0"/>
      <w:marBottom w:val="0"/>
      <w:divBdr>
        <w:top w:val="none" w:sz="0" w:space="0" w:color="auto"/>
        <w:left w:val="none" w:sz="0" w:space="0" w:color="auto"/>
        <w:bottom w:val="none" w:sz="0" w:space="0" w:color="auto"/>
        <w:right w:val="none" w:sz="0" w:space="0" w:color="auto"/>
      </w:divBdr>
    </w:div>
    <w:div w:id="2074617315">
      <w:bodyDiv w:val="1"/>
      <w:marLeft w:val="0"/>
      <w:marRight w:val="0"/>
      <w:marTop w:val="0"/>
      <w:marBottom w:val="0"/>
      <w:divBdr>
        <w:top w:val="none" w:sz="0" w:space="0" w:color="auto"/>
        <w:left w:val="none" w:sz="0" w:space="0" w:color="auto"/>
        <w:bottom w:val="none" w:sz="0" w:space="0" w:color="auto"/>
        <w:right w:val="none" w:sz="0" w:space="0" w:color="auto"/>
      </w:divBdr>
    </w:div>
    <w:div w:id="2096436581">
      <w:bodyDiv w:val="1"/>
      <w:marLeft w:val="0"/>
      <w:marRight w:val="0"/>
      <w:marTop w:val="0"/>
      <w:marBottom w:val="0"/>
      <w:divBdr>
        <w:top w:val="none" w:sz="0" w:space="0" w:color="auto"/>
        <w:left w:val="none" w:sz="0" w:space="0" w:color="auto"/>
        <w:bottom w:val="none" w:sz="0" w:space="0" w:color="auto"/>
        <w:right w:val="none" w:sz="0" w:space="0" w:color="auto"/>
      </w:divBdr>
    </w:div>
    <w:div w:id="2099281177">
      <w:bodyDiv w:val="1"/>
      <w:marLeft w:val="0"/>
      <w:marRight w:val="0"/>
      <w:marTop w:val="0"/>
      <w:marBottom w:val="0"/>
      <w:divBdr>
        <w:top w:val="none" w:sz="0" w:space="0" w:color="auto"/>
        <w:left w:val="none" w:sz="0" w:space="0" w:color="auto"/>
        <w:bottom w:val="none" w:sz="0" w:space="0" w:color="auto"/>
        <w:right w:val="none" w:sz="0" w:space="0" w:color="auto"/>
      </w:divBdr>
    </w:div>
    <w:div w:id="2115903000">
      <w:bodyDiv w:val="1"/>
      <w:marLeft w:val="0"/>
      <w:marRight w:val="0"/>
      <w:marTop w:val="0"/>
      <w:marBottom w:val="0"/>
      <w:divBdr>
        <w:top w:val="none" w:sz="0" w:space="0" w:color="auto"/>
        <w:left w:val="none" w:sz="0" w:space="0" w:color="auto"/>
        <w:bottom w:val="none" w:sz="0" w:space="0" w:color="auto"/>
        <w:right w:val="none" w:sz="0" w:space="0" w:color="auto"/>
      </w:divBdr>
    </w:div>
    <w:div w:id="21347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mateo\Desktop\CUENTA%20P&#218;BLICA%202024\Plantilla_Estilos_Tipografic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6F0F6CCFDB3A64EBFA59BC9399642B7" ma:contentTypeVersion="9" ma:contentTypeDescription="Crear nuevo documento." ma:contentTypeScope="" ma:versionID="6529c3a7aef58e5e8785ee305b164871">
  <xsd:schema xmlns:xsd="http://www.w3.org/2001/XMLSchema" xmlns:xs="http://www.w3.org/2001/XMLSchema" xmlns:p="http://schemas.microsoft.com/office/2006/metadata/properties" xmlns:ns3="edc1cba3-a8b7-49a1-a01c-6ad98ac12acf" targetNamespace="http://schemas.microsoft.com/office/2006/metadata/properties" ma:root="true" ma:fieldsID="ba128f6ee48ac19fad6e437f64f03db5" ns3:_="">
    <xsd:import namespace="edc1cba3-a8b7-49a1-a01c-6ad98ac12ac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1cba3-a8b7-49a1-a01c-6ad98ac12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013EB-3CB1-4931-B8E9-02484EFC5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927B35-D813-4F04-B5E6-5C9A5BE7AA47}">
  <ds:schemaRefs>
    <ds:schemaRef ds:uri="http://schemas.openxmlformats.org/officeDocument/2006/bibliography"/>
  </ds:schemaRefs>
</ds:datastoreItem>
</file>

<file path=customXml/itemProps3.xml><?xml version="1.0" encoding="utf-8"?>
<ds:datastoreItem xmlns:ds="http://schemas.openxmlformats.org/officeDocument/2006/customXml" ds:itemID="{1FEC3295-DCF5-4352-998C-46B63181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1cba3-a8b7-49a1-a01c-6ad98ac12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1B19E-E5E3-49E6-AA90-768D18442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Plantilla_Estilos_Tipograficos</Template>
  <TotalTime>5</TotalTime>
  <Pages>73</Pages>
  <Words>21798</Words>
  <Characters>125999</Characters>
  <Application>Microsoft Office Word</Application>
  <DocSecurity>0</DocSecurity>
  <Lines>4344</Lines>
  <Paragraphs>3437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Ulises Ramirez Martinez</dc:creator>
  <cp:lastModifiedBy>Ulises Ramirez Martinez</cp:lastModifiedBy>
  <cp:revision>3</cp:revision>
  <cp:lastPrinted>2025-07-24T18:35:00Z</cp:lastPrinted>
  <dcterms:created xsi:type="dcterms:W3CDTF">2025-07-29T20:50:00Z</dcterms:created>
  <dcterms:modified xsi:type="dcterms:W3CDTF">2025-07-30T23:57:00Z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0x010100E6F0F6CCFDB3A64EBFA59BC9399642B7</vt:lpwstr>
  </property>
</Properties>
</file>