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02A" w:rsidRPr="009D385D" w:rsidRDefault="009D385D" w:rsidP="009D385D">
      <w:pPr>
        <w:jc w:val="center"/>
        <w:rPr>
          <w:b/>
        </w:rPr>
      </w:pPr>
      <w:r>
        <w:rPr>
          <w:b/>
        </w:rPr>
        <w:t xml:space="preserve">Anexo a pregunta 39. </w:t>
      </w:r>
      <w:r w:rsidR="00E437E0" w:rsidRPr="009D385D">
        <w:rPr>
          <w:b/>
        </w:rPr>
        <w:t>Análisis del ejercicio del gasto</w:t>
      </w:r>
      <w:r>
        <w:rPr>
          <w:b/>
        </w:rPr>
        <w:t xml:space="preserve"> asignado</w:t>
      </w:r>
    </w:p>
    <w:p w:rsidR="00587213" w:rsidRDefault="00F7753B">
      <w:r>
        <w:t xml:space="preserve">El Programa presentó </w:t>
      </w:r>
      <w:r w:rsidR="00844449">
        <w:t xml:space="preserve">los informes </w:t>
      </w:r>
      <w:r>
        <w:t>de “Integración del presupuesto original y ejercido por capítulo de gasto” de sus principales fuentes de financiamiento</w:t>
      </w:r>
      <w:r w:rsidR="00BF60AD">
        <w:t xml:space="preserve">: Ramo 12 modalidades Rural y Urbano, </w:t>
      </w:r>
      <w:r>
        <w:t xml:space="preserve">Ramo 19, </w:t>
      </w:r>
      <w:r w:rsidR="00BF60AD">
        <w:t>y la aportación de gastos por atención a asegurados del Seguro Popular</w:t>
      </w:r>
      <w:r>
        <w:t>.</w:t>
      </w:r>
    </w:p>
    <w:p w:rsidR="00282DEA" w:rsidRDefault="00F7753B">
      <w:r>
        <w:t xml:space="preserve">En términos globales el programa registró un </w:t>
      </w:r>
      <w:r w:rsidRPr="00F7753B">
        <w:rPr>
          <w:u w:val="single"/>
        </w:rPr>
        <w:t>subejercicio</w:t>
      </w:r>
      <w:r>
        <w:t xml:space="preserve"> de $150.828 millones de pesos, lo cual equivale a un 1.7% del presupuesto asignado total. El Programa reporta equilibrio en</w:t>
      </w:r>
      <w:r w:rsidR="00BF60AD">
        <w:t xml:space="preserve"> </w:t>
      </w:r>
      <w:r>
        <w:t>el ejercicio del gasto proveniente del Ramo 12, por lo que el total del subejercicio se atribuye al Ramo 19.</w:t>
      </w:r>
      <w:r w:rsidR="00587213">
        <w:t xml:space="preserve"> </w:t>
      </w:r>
      <w:r w:rsidR="00BF60AD">
        <w:t>Por lo cual el análisis del subejercicio se realiza sobre la información del</w:t>
      </w:r>
      <w:r w:rsidR="00A27EA1">
        <w:t xml:space="preserve"> Ramo 19</w:t>
      </w:r>
      <w:r w:rsidR="00BF60AD">
        <w:t xml:space="preserve">. Para este Ramo </w:t>
      </w:r>
      <w:r>
        <w:t xml:space="preserve">se reporta que en los Gastos de operación </w:t>
      </w:r>
      <w:r w:rsidR="00A27EA1">
        <w:t xml:space="preserve">y Gastos en capital </w:t>
      </w:r>
      <w:r w:rsidR="00587213">
        <w:t xml:space="preserve">hubieron </w:t>
      </w:r>
      <w:r>
        <w:t>subejercicio</w:t>
      </w:r>
      <w:r w:rsidR="00587213">
        <w:t>s</w:t>
      </w:r>
      <w:r>
        <w:t xml:space="preserve"> de $87.962 </w:t>
      </w:r>
      <w:r w:rsidR="00A27EA1">
        <w:t xml:space="preserve">y $161.233 </w:t>
      </w:r>
      <w:r>
        <w:t>millones de pesos</w:t>
      </w:r>
      <w:r w:rsidR="00A27EA1">
        <w:t xml:space="preserve"> (1.1% y 31.7% del asignado a estos rubros respectivamente). Mientras que en los gastos de mantenimiento se reporta un sobre-ejercicio de $98.366 millones de pesos (44.6% del asignado a este rubro).</w:t>
      </w:r>
    </w:p>
    <w:p w:rsidR="00114978" w:rsidRDefault="00282DEA" w:rsidP="00282DEA">
      <w:pPr>
        <w:spacing w:after="0"/>
        <w:ind w:left="708"/>
      </w:pPr>
      <w:r w:rsidRPr="00114978">
        <w:rPr>
          <w:rFonts w:ascii="Arial" w:eastAsia="Times New Roman" w:hAnsi="Arial" w:cs="Arial"/>
          <w:b/>
          <w:bCs/>
          <w:sz w:val="20"/>
          <w:szCs w:val="20"/>
          <w:lang w:eastAsia="es-MX"/>
        </w:rPr>
        <w:t>Ejercicio del presupuesto asignado en 2011 por Ramo 19</w:t>
      </w:r>
    </w:p>
    <w:tbl>
      <w:tblPr>
        <w:tblW w:w="9962" w:type="dxa"/>
        <w:jc w:val="center"/>
        <w:tblInd w:w="57" w:type="dxa"/>
        <w:tblCellMar>
          <w:left w:w="70" w:type="dxa"/>
          <w:right w:w="70" w:type="dxa"/>
        </w:tblCellMar>
        <w:tblLook w:val="04A0"/>
      </w:tblPr>
      <w:tblGrid>
        <w:gridCol w:w="2140"/>
        <w:gridCol w:w="1705"/>
        <w:gridCol w:w="1531"/>
        <w:gridCol w:w="1441"/>
        <w:gridCol w:w="964"/>
        <w:gridCol w:w="840"/>
        <w:gridCol w:w="1341"/>
      </w:tblGrid>
      <w:tr w:rsidR="00114978" w:rsidRPr="00114978" w:rsidTr="009D385D">
        <w:trPr>
          <w:trHeight w:val="330"/>
          <w:jc w:val="center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Rubro de gasto para </w:t>
            </w:r>
            <w:proofErr w:type="spellStart"/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ECyR</w:t>
            </w:r>
            <w:proofErr w:type="spellEnd"/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2011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Presupuesto asignado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Presupuesto ejercido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Ejercicio neto</w:t>
            </w: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992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18"/>
                <w:lang w:eastAsia="es-MX"/>
              </w:rPr>
              <w:t>Proporción del presupuesto</w:t>
            </w:r>
          </w:p>
        </w:tc>
      </w:tr>
      <w:tr w:rsidR="00114978" w:rsidRPr="00114978" w:rsidTr="009D385D">
        <w:trPr>
          <w:trHeight w:val="330"/>
          <w:jc w:val="center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7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53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144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Del rubro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 </w:t>
            </w:r>
            <w:r w:rsidR="009927B2" w:rsidRPr="009927B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Resultado</w:t>
            </w:r>
          </w:p>
        </w:tc>
      </w:tr>
      <w:tr w:rsidR="00114978" w:rsidRPr="00114978" w:rsidTr="009D385D">
        <w:trPr>
          <w:trHeight w:val="3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18"/>
                <w:lang w:eastAsia="es-MX"/>
              </w:rPr>
              <w:t>Gastos operación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$8,125,485,782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$8,037,523,532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-$87,962,250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-1.1%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-1.0%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Sub-ejercido</w:t>
            </w:r>
          </w:p>
        </w:tc>
      </w:tr>
      <w:tr w:rsidR="00114978" w:rsidRPr="00114978" w:rsidTr="009D385D">
        <w:trPr>
          <w:trHeight w:val="3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0D1480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sz w:val="20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18"/>
                <w:lang w:eastAsia="es-MX"/>
              </w:rPr>
              <w:t>Directos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$5,633,491,656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$5,663,164,888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$29,673,232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0.5%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0.3%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</w:tr>
      <w:tr w:rsidR="00114978" w:rsidRPr="00114978" w:rsidTr="009D385D">
        <w:trPr>
          <w:trHeight w:val="3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282DEA" w:rsidP="00282DE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i/>
                <w:iCs/>
                <w:sz w:val="20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18"/>
                <w:lang w:eastAsia="es-MX"/>
              </w:rPr>
              <w:t xml:space="preserve">Servicios </w:t>
            </w:r>
            <w:r w:rsidR="00114978" w:rsidRPr="00114978">
              <w:rPr>
                <w:rFonts w:ascii="Arial" w:eastAsia="Times New Roman" w:hAnsi="Arial" w:cs="Arial"/>
                <w:i/>
                <w:iCs/>
                <w:sz w:val="20"/>
                <w:szCs w:val="18"/>
                <w:lang w:eastAsia="es-MX"/>
              </w:rPr>
              <w:t>personal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$5,633,491,656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$5,663,164,888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$29,673,232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</w:tr>
      <w:tr w:rsidR="00114978" w:rsidRPr="00114978" w:rsidTr="009D385D">
        <w:trPr>
          <w:trHeight w:val="3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0D1480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sz w:val="20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18"/>
                <w:lang w:eastAsia="es-MX"/>
              </w:rPr>
              <w:t>Indirectos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$2,491,994,126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$2,374,358,644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-$117,635,482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-4.7%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-1.3%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Sub-ejercido</w:t>
            </w:r>
          </w:p>
        </w:tc>
      </w:tr>
      <w:tr w:rsidR="00114978" w:rsidRPr="00114978" w:rsidTr="009D385D">
        <w:trPr>
          <w:trHeight w:val="3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0D1480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i/>
                <w:iCs/>
                <w:sz w:val="20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20"/>
                <w:szCs w:val="18"/>
                <w:lang w:eastAsia="es-MX"/>
              </w:rPr>
              <w:t>Bienes de consumo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$1,922,027,745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$1,657,502,116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-$264,525,629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-13.8%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</w:tr>
      <w:tr w:rsidR="00114978" w:rsidRPr="00114978" w:rsidTr="009D385D">
        <w:trPr>
          <w:trHeight w:val="3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0D1480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i/>
                <w:iCs/>
                <w:sz w:val="20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20"/>
                <w:szCs w:val="18"/>
                <w:lang w:eastAsia="es-MX"/>
              </w:rPr>
              <w:t>Servicios generales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$569,966,381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$493,905,128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-$76,061,253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-13.3%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</w:tr>
      <w:tr w:rsidR="00114978" w:rsidRPr="00114978" w:rsidTr="009D385D">
        <w:trPr>
          <w:trHeight w:val="3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0D1480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i/>
                <w:iCs/>
                <w:sz w:val="20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20"/>
                <w:szCs w:val="18"/>
                <w:lang w:eastAsia="es-MX"/>
              </w:rPr>
              <w:t>De</w:t>
            </w:r>
            <w:r w:rsidR="002C3D13">
              <w:rPr>
                <w:rFonts w:ascii="Arial" w:eastAsia="Times New Roman" w:hAnsi="Arial" w:cs="Arial"/>
                <w:i/>
                <w:iCs/>
                <w:sz w:val="20"/>
                <w:szCs w:val="18"/>
                <w:lang w:eastAsia="es-MX"/>
              </w:rPr>
              <w:t>p</w:t>
            </w:r>
            <w:r w:rsidRPr="00114978">
              <w:rPr>
                <w:rFonts w:ascii="Arial" w:eastAsia="Times New Roman" w:hAnsi="Arial" w:cs="Arial"/>
                <w:i/>
                <w:iCs/>
                <w:sz w:val="20"/>
                <w:szCs w:val="18"/>
                <w:lang w:eastAsia="es-MX"/>
              </w:rPr>
              <w:t>reciaciones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$222,951,400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$222,951,400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proofErr w:type="spellStart"/>
            <w:r w:rsidRPr="0011497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n.a.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</w:tr>
      <w:tr w:rsidR="00114978" w:rsidRPr="00114978" w:rsidTr="009D385D">
        <w:trPr>
          <w:trHeight w:val="3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18"/>
                <w:lang w:eastAsia="es-MX"/>
              </w:rPr>
              <w:t>Gastos en mantenimiento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$220,704,488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$319,071,118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$98,366,630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44.6%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1.1%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proofErr w:type="spellStart"/>
            <w:r w:rsidRPr="0011497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Sobreejercido</w:t>
            </w:r>
            <w:proofErr w:type="spellEnd"/>
          </w:p>
        </w:tc>
      </w:tr>
      <w:tr w:rsidR="00114978" w:rsidRPr="00114978" w:rsidTr="009D385D">
        <w:trPr>
          <w:trHeight w:val="3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0D1480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i/>
                <w:iCs/>
                <w:sz w:val="20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20"/>
                <w:szCs w:val="18"/>
                <w:lang w:eastAsia="es-MX"/>
              </w:rPr>
              <w:t>Bienes de consumo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$87,447,703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$98,244,546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$10,796,843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12.3%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114978" w:rsidRPr="00114978" w:rsidTr="009D385D">
        <w:trPr>
          <w:trHeight w:val="3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0D1480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i/>
                <w:iCs/>
                <w:sz w:val="20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20"/>
                <w:szCs w:val="18"/>
                <w:lang w:eastAsia="es-MX"/>
              </w:rPr>
              <w:t>Servicios generales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$133,256,785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$220,826,572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$87,569,787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65.7%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114978" w:rsidRPr="00114978" w:rsidTr="009D385D">
        <w:trPr>
          <w:trHeight w:val="3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18"/>
                <w:lang w:eastAsia="es-MX"/>
              </w:rPr>
              <w:t>Gastos en capital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$508,700,000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$347,466,782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-$161,233,218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-31.7%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-1.8%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Sub-ejercido</w:t>
            </w:r>
          </w:p>
        </w:tc>
      </w:tr>
      <w:tr w:rsidR="00114978" w:rsidRPr="00114978" w:rsidTr="009D385D">
        <w:trPr>
          <w:trHeight w:val="3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0D1480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sz w:val="20"/>
                <w:szCs w:val="18"/>
                <w:lang w:eastAsia="es-MX"/>
              </w:rPr>
              <w:t>Bienes muebles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$226,700,000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$34,182,765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-$192,517,235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-84.9%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114978" w:rsidRPr="00114978" w:rsidTr="009D385D">
        <w:trPr>
          <w:trHeight w:val="3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0D1480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sz w:val="20"/>
                <w:szCs w:val="18"/>
                <w:lang w:eastAsia="es-MX"/>
              </w:rPr>
              <w:t>Obra pub</w:t>
            </w:r>
            <w:r w:rsidR="00C02016">
              <w:rPr>
                <w:rFonts w:ascii="Arial" w:eastAsia="Times New Roman" w:hAnsi="Arial" w:cs="Arial"/>
                <w:sz w:val="20"/>
                <w:szCs w:val="18"/>
                <w:lang w:eastAsia="es-MX"/>
              </w:rPr>
              <w:t>lica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$282,000,000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$313,284,017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$31,284,017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114978" w:rsidRPr="00114978" w:rsidTr="009D385D">
        <w:trPr>
          <w:trHeight w:val="3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18"/>
                <w:lang w:eastAsia="es-MX"/>
              </w:rPr>
              <w:t>Gasto global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$8,854,890,270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$8,704,061,432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-$150,828,838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-1.7%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-1.7%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978" w:rsidRPr="00114978" w:rsidRDefault="00114978" w:rsidP="001149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11497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Sub-ejercido</w:t>
            </w:r>
          </w:p>
        </w:tc>
      </w:tr>
    </w:tbl>
    <w:p w:rsidR="00E437E0" w:rsidRDefault="00A27EA1" w:rsidP="009D385D">
      <w:pPr>
        <w:spacing w:before="240"/>
      </w:pPr>
      <w:r>
        <w:t xml:space="preserve">A continuación se </w:t>
      </w:r>
      <w:r w:rsidR="00587213">
        <w:t xml:space="preserve">resume las cuentas en que se detectó mayor variación, en relación con el presupuesto asignado, en la tabla se desglosa con mayor detalle este análisis. </w:t>
      </w:r>
    </w:p>
    <w:p w:rsidR="008E0B36" w:rsidRDefault="00C02016">
      <w:r>
        <w:t xml:space="preserve">Subejercicio en </w:t>
      </w:r>
      <w:r w:rsidR="00A27EA1">
        <w:t>Gastos de operación indirectos</w:t>
      </w:r>
      <w:r>
        <w:t>: -$340.586 millones de pesos</w:t>
      </w:r>
      <w:r w:rsidR="00465621">
        <w:t xml:space="preserve">, de los cuales </w:t>
      </w:r>
      <w:r w:rsidR="00A27EA1">
        <w:t xml:space="preserve">-$264.525 </w:t>
      </w:r>
      <w:r w:rsidR="00465621">
        <w:t xml:space="preserve">se presentó </w:t>
      </w:r>
      <w:r>
        <w:t>en bienes de consumo</w:t>
      </w:r>
      <w:r w:rsidR="00465621">
        <w:t xml:space="preserve">, </w:t>
      </w:r>
      <w:r>
        <w:t>-$76.06 en servicios generales</w:t>
      </w:r>
      <w:r w:rsidR="00465621">
        <w:t xml:space="preserve">, y </w:t>
      </w:r>
      <w:r w:rsidR="00CD22E9">
        <w:t>por la aplicación de depreciaciones $222.951 millones.</w:t>
      </w:r>
      <w:r w:rsidR="00314B14">
        <w:t xml:space="preserve"> </w:t>
      </w:r>
    </w:p>
    <w:p w:rsidR="008E0B36" w:rsidRDefault="00314B14">
      <w:r>
        <w:t xml:space="preserve">El subejercicio en </w:t>
      </w:r>
      <w:r w:rsidR="008E0B36">
        <w:t>Gasto indirecto-</w:t>
      </w:r>
      <w:r>
        <w:t xml:space="preserve">bienes de consumo se distribuyó </w:t>
      </w:r>
      <w:r w:rsidR="00465621">
        <w:t>en</w:t>
      </w:r>
      <w:r>
        <w:t>: Mobiliario administrativo y médico ($97 millones), Medicamentos y productos farmacéuticos (</w:t>
      </w:r>
      <w:r w:rsidR="00465621">
        <w:t>-</w:t>
      </w:r>
      <w:r>
        <w:t>$</w:t>
      </w:r>
      <w:r w:rsidR="00B004BF">
        <w:t>71.8</w:t>
      </w:r>
      <w:r>
        <w:t xml:space="preserve"> millones</w:t>
      </w:r>
      <w:r w:rsidR="00B004BF">
        <w:t xml:space="preserve"> </w:t>
      </w:r>
      <w:r w:rsidR="00B924A5">
        <w:t xml:space="preserve">de los cuales </w:t>
      </w:r>
      <w:r w:rsidR="00B004BF">
        <w:t xml:space="preserve">en </w:t>
      </w:r>
      <w:r w:rsidRPr="00B004BF">
        <w:rPr>
          <w:i/>
        </w:rPr>
        <w:t xml:space="preserve">Vacunas </w:t>
      </w:r>
      <w:r w:rsidR="00465621">
        <w:rPr>
          <w:i/>
        </w:rPr>
        <w:t>-</w:t>
      </w:r>
      <w:r w:rsidRPr="00B004BF">
        <w:rPr>
          <w:i/>
        </w:rPr>
        <w:t>$58 millones, M</w:t>
      </w:r>
      <w:r w:rsidR="00B924A5">
        <w:rPr>
          <w:i/>
        </w:rPr>
        <w:t>edicinas</w:t>
      </w:r>
      <w:r w:rsidR="00465621">
        <w:rPr>
          <w:i/>
        </w:rPr>
        <w:t>-</w:t>
      </w:r>
      <w:r w:rsidR="00B924A5">
        <w:rPr>
          <w:i/>
        </w:rPr>
        <w:t xml:space="preserve"> </w:t>
      </w:r>
      <w:r w:rsidRPr="00B004BF">
        <w:rPr>
          <w:i/>
        </w:rPr>
        <w:t>$4.4 millones,</w:t>
      </w:r>
      <w:r w:rsidR="00B924A5">
        <w:rPr>
          <w:i/>
        </w:rPr>
        <w:t xml:space="preserve"> Medicinas especializadas </w:t>
      </w:r>
      <w:r w:rsidR="00465621">
        <w:rPr>
          <w:i/>
        </w:rPr>
        <w:t>-</w:t>
      </w:r>
      <w:r w:rsidRPr="00B004BF">
        <w:rPr>
          <w:i/>
        </w:rPr>
        <w:t>$9.4 millones</w:t>
      </w:r>
      <w:r w:rsidR="00B004BF">
        <w:t>)</w:t>
      </w:r>
      <w:r>
        <w:t xml:space="preserve">, </w:t>
      </w:r>
      <w:r w:rsidR="00B004BF">
        <w:t>Material y suministros médicos (</w:t>
      </w:r>
      <w:r w:rsidR="00465621">
        <w:t>-</w:t>
      </w:r>
      <w:r w:rsidR="00B004BF">
        <w:t>$25.9 millones</w:t>
      </w:r>
      <w:r w:rsidR="00B924A5">
        <w:t>, de los cuales en</w:t>
      </w:r>
      <w:r w:rsidR="00B004BF">
        <w:t xml:space="preserve"> </w:t>
      </w:r>
      <w:r w:rsidR="00B004BF" w:rsidRPr="00B004BF">
        <w:rPr>
          <w:i/>
        </w:rPr>
        <w:t xml:space="preserve">equipo instrumental y </w:t>
      </w:r>
      <w:r w:rsidR="00B924A5">
        <w:rPr>
          <w:i/>
        </w:rPr>
        <w:t xml:space="preserve">accesorios médicos </w:t>
      </w:r>
      <w:r w:rsidR="00465621">
        <w:rPr>
          <w:i/>
        </w:rPr>
        <w:t>-</w:t>
      </w:r>
      <w:r w:rsidR="00B004BF" w:rsidRPr="00B004BF">
        <w:rPr>
          <w:i/>
        </w:rPr>
        <w:t xml:space="preserve">$17 millones, material de curación sustantivo </w:t>
      </w:r>
      <w:r w:rsidR="00465621">
        <w:rPr>
          <w:i/>
        </w:rPr>
        <w:t>-</w:t>
      </w:r>
      <w:r w:rsidR="00B004BF" w:rsidRPr="00B004BF">
        <w:rPr>
          <w:i/>
        </w:rPr>
        <w:t>$3.65 millones, otros</w:t>
      </w:r>
      <w:r w:rsidR="00465621">
        <w:rPr>
          <w:i/>
        </w:rPr>
        <w:t>-</w:t>
      </w:r>
      <w:r w:rsidR="00B004BF" w:rsidRPr="00B004BF">
        <w:rPr>
          <w:i/>
        </w:rPr>
        <w:t xml:space="preserve"> 5.2 millones</w:t>
      </w:r>
      <w:r w:rsidR="00B004BF">
        <w:t xml:space="preserve">), </w:t>
      </w:r>
      <w:r>
        <w:t>Material de limpieza (</w:t>
      </w:r>
      <w:r w:rsidR="00465621">
        <w:t>-</w:t>
      </w:r>
      <w:r>
        <w:t>$24 millones), Impresos y material de divulgación (</w:t>
      </w:r>
      <w:r w:rsidR="00465621">
        <w:t>-</w:t>
      </w:r>
      <w:r>
        <w:t xml:space="preserve">$21 millones), </w:t>
      </w:r>
      <w:r w:rsidR="00B004BF">
        <w:t>Material de laboratorio (</w:t>
      </w:r>
      <w:r w:rsidR="00465621">
        <w:t>-</w:t>
      </w:r>
      <w:r w:rsidR="00B004BF">
        <w:t>$20 millones), y Vestuario (</w:t>
      </w:r>
      <w:r w:rsidR="00465621">
        <w:t>-</w:t>
      </w:r>
      <w:r w:rsidR="00B004BF">
        <w:t>$</w:t>
      </w:r>
      <w:r w:rsidR="00465621">
        <w:t>7 millones). Con un sobre-</w:t>
      </w:r>
      <w:r w:rsidR="00B004BF">
        <w:t>ejercicio de $4.4 millones en productos y lácteos.</w:t>
      </w:r>
      <w:r w:rsidR="00E37809">
        <w:t xml:space="preserve"> </w:t>
      </w:r>
    </w:p>
    <w:p w:rsidR="00A27EA1" w:rsidRDefault="00465621">
      <w:r>
        <w:t xml:space="preserve">El </w:t>
      </w:r>
      <w:r w:rsidR="00E37809">
        <w:t>sub</w:t>
      </w:r>
      <w:r>
        <w:t xml:space="preserve">ejercicio en </w:t>
      </w:r>
      <w:r w:rsidR="008E0B36">
        <w:t xml:space="preserve">Gasto indirecto- </w:t>
      </w:r>
      <w:r>
        <w:t xml:space="preserve">servicios se distribuyó: </w:t>
      </w:r>
      <w:r w:rsidR="00B924A5">
        <w:t xml:space="preserve">Atención a derechohabientes IMSS </w:t>
      </w:r>
      <w:r>
        <w:t>(</w:t>
      </w:r>
      <w:r w:rsidR="00B924A5">
        <w:t>-$310 millones</w:t>
      </w:r>
      <w:r>
        <w:t>)</w:t>
      </w:r>
      <w:r w:rsidR="00B924A5">
        <w:t xml:space="preserve">, </w:t>
      </w:r>
      <w:r w:rsidR="00E37809" w:rsidRPr="00B924A5">
        <w:t>Servicios de conducción de señales analógicas y digitales</w:t>
      </w:r>
      <w:r w:rsidR="00E37809">
        <w:t xml:space="preserve"> (-$9.7 millones)</w:t>
      </w:r>
      <w:r w:rsidR="00E37809" w:rsidRPr="00B924A5">
        <w:t>, Otros servicios comerciales</w:t>
      </w:r>
      <w:r w:rsidR="00E37809">
        <w:t xml:space="preserve"> (-$8 millones)</w:t>
      </w:r>
      <w:r w:rsidR="00E37809" w:rsidRPr="00B924A5">
        <w:t>, Capacitación a volunt.de la comunidad</w:t>
      </w:r>
      <w:r w:rsidR="00E37809">
        <w:t xml:space="preserve"> (-$7.7millones)</w:t>
      </w:r>
      <w:r w:rsidR="00E37809" w:rsidRPr="00B924A5">
        <w:t>, Servicio de agua</w:t>
      </w:r>
      <w:r w:rsidR="00E37809">
        <w:t xml:space="preserve"> (-$6 millones); mientras que hubo sobre-ejercicio en : </w:t>
      </w:r>
      <w:r w:rsidR="00B924A5">
        <w:lastRenderedPageBreak/>
        <w:t xml:space="preserve">Atención a embarazadas en Hospitales IMSS (+$130.1 millones), Ajustes a </w:t>
      </w:r>
      <w:r>
        <w:t>s</w:t>
      </w:r>
      <w:r w:rsidR="00B924A5">
        <w:t>erv.</w:t>
      </w:r>
      <w:r>
        <w:t>d</w:t>
      </w:r>
      <w:r w:rsidR="00B924A5">
        <w:t>e personal de ejercicios anteriores (</w:t>
      </w:r>
      <w:r w:rsidR="00E37809">
        <w:t>+</w:t>
      </w:r>
      <w:r w:rsidR="00B924A5">
        <w:t>$17</w:t>
      </w:r>
      <w:r w:rsidR="00E37809">
        <w:t>.2</w:t>
      </w:r>
      <w:r w:rsidR="00B924A5">
        <w:t xml:space="preserve"> millones)</w:t>
      </w:r>
      <w:r w:rsidR="00E37809">
        <w:t xml:space="preserve">, </w:t>
      </w:r>
      <w:r w:rsidR="00B924A5" w:rsidRPr="00B924A5">
        <w:t xml:space="preserve">Comp. </w:t>
      </w:r>
      <w:proofErr w:type="gramStart"/>
      <w:r w:rsidR="00B924A5" w:rsidRPr="00B924A5">
        <w:t>eco</w:t>
      </w:r>
      <w:proofErr w:type="gramEnd"/>
      <w:r w:rsidR="00B924A5" w:rsidRPr="00B924A5">
        <w:t xml:space="preserve"> volunt.de comunidad</w:t>
      </w:r>
      <w:r w:rsidR="00B924A5">
        <w:t xml:space="preserve"> (+$47.6millones)</w:t>
      </w:r>
      <w:r w:rsidR="00B924A5" w:rsidRPr="00B924A5">
        <w:t xml:space="preserve">, Apoyo de </w:t>
      </w:r>
      <w:proofErr w:type="spellStart"/>
      <w:r w:rsidR="00B924A5" w:rsidRPr="00B924A5">
        <w:t>vinc</w:t>
      </w:r>
      <w:proofErr w:type="spellEnd"/>
      <w:r w:rsidR="00B924A5" w:rsidRPr="00B924A5">
        <w:t xml:space="preserve"> c/parteras rurales</w:t>
      </w:r>
      <w:r w:rsidR="00B924A5">
        <w:t xml:space="preserve"> (+$23-3millones)</w:t>
      </w:r>
      <w:r w:rsidR="00B924A5" w:rsidRPr="00B924A5">
        <w:t>, Indemnización a solidario-</w:t>
      </w:r>
      <w:proofErr w:type="spellStart"/>
      <w:r w:rsidR="00B924A5" w:rsidRPr="00B924A5">
        <w:t>hab</w:t>
      </w:r>
      <w:proofErr w:type="spellEnd"/>
      <w:r w:rsidR="00B924A5">
        <w:t xml:space="preserve"> (+$5.2millones)</w:t>
      </w:r>
      <w:r w:rsidR="00B924A5" w:rsidRPr="00B924A5">
        <w:t>, Viáticos nacionales para labores en campo y de supervisión</w:t>
      </w:r>
      <w:r w:rsidR="00B924A5">
        <w:t xml:space="preserve"> (</w:t>
      </w:r>
      <w:r w:rsidR="00E37809">
        <w:t>+</w:t>
      </w:r>
      <w:r w:rsidR="00AF26D9">
        <w:t>$49</w:t>
      </w:r>
      <w:r w:rsidR="00B924A5">
        <w:t>millones)</w:t>
      </w:r>
      <w:r w:rsidR="00B924A5" w:rsidRPr="00B924A5">
        <w:t>, Fletes y maniobras</w:t>
      </w:r>
      <w:r w:rsidR="00B924A5">
        <w:t xml:space="preserve"> (</w:t>
      </w:r>
      <w:r w:rsidR="00AF26D9">
        <w:t>+</w:t>
      </w:r>
      <w:r w:rsidR="00B924A5">
        <w:t>$</w:t>
      </w:r>
      <w:r w:rsidR="00AF26D9">
        <w:t>10</w:t>
      </w:r>
      <w:r w:rsidR="00B924A5">
        <w:t>millones).</w:t>
      </w:r>
      <w:r w:rsidR="008E0B36">
        <w:t xml:space="preserve"> </w:t>
      </w:r>
    </w:p>
    <w:p w:rsidR="00A27EA1" w:rsidRDefault="008E0B36">
      <w:r>
        <w:t xml:space="preserve">Se observó un </w:t>
      </w:r>
      <w:r w:rsidR="00C02016">
        <w:t>Sobre-ejercicio en Gastos en mantenimiento</w:t>
      </w:r>
      <w:r>
        <w:t xml:space="preserve"> por</w:t>
      </w:r>
      <w:r w:rsidR="00C02016">
        <w:t xml:space="preserve"> $98.366 millones de pesos ($10.8 en bienes de consumo y $87.6 en servicios generales).</w:t>
      </w:r>
      <w:r>
        <w:t xml:space="preserve"> Asimismo, se reportó un s</w:t>
      </w:r>
      <w:r w:rsidR="006C5AE5">
        <w:t xml:space="preserve">ubejercicio en </w:t>
      </w:r>
      <w:r w:rsidR="00C02016">
        <w:t>Gastos de capital</w:t>
      </w:r>
      <w:r>
        <w:t xml:space="preserve"> por</w:t>
      </w:r>
      <w:r w:rsidR="00C02016">
        <w:t xml:space="preserve"> -$161.233 millones de pesos (-$192.517 en bienes muebles y +$31.284 en obra pública).</w:t>
      </w:r>
      <w:r w:rsidR="00314B14">
        <w:t xml:space="preserve"> </w:t>
      </w:r>
    </w:p>
    <w:tbl>
      <w:tblPr>
        <w:tblW w:w="10944" w:type="dxa"/>
        <w:tblInd w:w="52" w:type="dxa"/>
        <w:tblCellMar>
          <w:left w:w="70" w:type="dxa"/>
          <w:right w:w="70" w:type="dxa"/>
        </w:tblCellMar>
        <w:tblLook w:val="04A0"/>
      </w:tblPr>
      <w:tblGrid>
        <w:gridCol w:w="668"/>
        <w:gridCol w:w="710"/>
        <w:gridCol w:w="200"/>
        <w:gridCol w:w="561"/>
        <w:gridCol w:w="7242"/>
        <w:gridCol w:w="1563"/>
      </w:tblGrid>
      <w:tr w:rsidR="003555B2" w:rsidRPr="003555B2" w:rsidTr="0029546D">
        <w:trPr>
          <w:trHeight w:val="291"/>
        </w:trPr>
        <w:tc>
          <w:tcPr>
            <w:tcW w:w="93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sz w:val="20"/>
                <w:szCs w:val="18"/>
                <w:lang w:eastAsia="es-MX"/>
              </w:rPr>
              <w:t xml:space="preserve">Cuentas de gasto con mayor variación en relación a presupuesto asignado en 2011 por Ramo 19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</w:tr>
      <w:tr w:rsidR="003555B2" w:rsidRPr="003555B2" w:rsidTr="0029546D">
        <w:trPr>
          <w:trHeight w:val="291"/>
        </w:trPr>
        <w:tc>
          <w:tcPr>
            <w:tcW w:w="1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Tipo de gasto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proofErr w:type="spellStart"/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Cta</w:t>
            </w:r>
            <w:proofErr w:type="spellEnd"/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Rubro de gasto para </w:t>
            </w:r>
            <w:proofErr w:type="spellStart"/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ECyR</w:t>
            </w:r>
            <w:proofErr w:type="spellEnd"/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 2011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Ejercicio neto</w:t>
            </w:r>
          </w:p>
        </w:tc>
      </w:tr>
      <w:tr w:rsidR="009D385D" w:rsidRPr="003555B2" w:rsidTr="0029546D">
        <w:trPr>
          <w:trHeight w:val="291"/>
        </w:trPr>
        <w:tc>
          <w:tcPr>
            <w:tcW w:w="1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85D" w:rsidRDefault="009D385D" w:rsidP="002954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Gasto global</w:t>
            </w:r>
          </w:p>
          <w:p w:rsidR="0029546D" w:rsidRPr="003555B2" w:rsidRDefault="0029546D" w:rsidP="002954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385D" w:rsidRPr="003555B2" w:rsidRDefault="009D385D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85D" w:rsidRPr="003555B2" w:rsidRDefault="009D385D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46D" w:rsidRDefault="0029546D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  <w:p w:rsidR="009D385D" w:rsidRDefault="009D385D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9D385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-$150,828,838</w:t>
            </w:r>
          </w:p>
          <w:p w:rsidR="0029546D" w:rsidRPr="003555B2" w:rsidRDefault="0029546D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</w:tr>
      <w:tr w:rsidR="003555B2" w:rsidRPr="003555B2" w:rsidTr="0029546D">
        <w:trPr>
          <w:trHeight w:val="291"/>
        </w:trPr>
        <w:tc>
          <w:tcPr>
            <w:tcW w:w="2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46D" w:rsidRDefault="0029546D" w:rsidP="002954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  <w:p w:rsid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Gastos operación</w:t>
            </w:r>
          </w:p>
          <w:p w:rsidR="0029546D" w:rsidRPr="003555B2" w:rsidRDefault="0029546D" w:rsidP="002954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5B2" w:rsidRDefault="003555B2" w:rsidP="002954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s-MX"/>
              </w:rPr>
              <w:t>-$87,962,250</w:t>
            </w:r>
          </w:p>
          <w:p w:rsidR="0029546D" w:rsidRPr="003555B2" w:rsidRDefault="0029546D" w:rsidP="002954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</w:tr>
      <w:tr w:rsidR="009D385D" w:rsidRPr="003555B2" w:rsidTr="0029546D">
        <w:trPr>
          <w:trHeight w:val="29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5D" w:rsidRPr="003555B2" w:rsidRDefault="009D385D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7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5D" w:rsidRPr="003555B2" w:rsidRDefault="009D385D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Gastos </w:t>
            </w:r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Indirectos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5D" w:rsidRPr="003555B2" w:rsidRDefault="009D385D" w:rsidP="002954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s-MX"/>
              </w:rPr>
              <w:t>-$117,635,482</w:t>
            </w:r>
          </w:p>
        </w:tc>
      </w:tr>
      <w:tr w:rsidR="003555B2" w:rsidRPr="003555B2" w:rsidTr="0029546D">
        <w:trPr>
          <w:trHeight w:val="291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7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Indirectos por Bienes de consumo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s-MX"/>
              </w:rPr>
              <w:t>-$264,525,629</w:t>
            </w:r>
          </w:p>
        </w:tc>
      </w:tr>
      <w:tr w:rsidR="003555B2" w:rsidRPr="003555B2" w:rsidTr="0029546D">
        <w:trPr>
          <w:trHeight w:val="291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21101</w:t>
            </w: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Materiales y útiles de oficina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>-$97,522,752</w:t>
            </w:r>
          </w:p>
        </w:tc>
      </w:tr>
      <w:tr w:rsidR="003555B2" w:rsidRPr="003555B2" w:rsidTr="0029546D">
        <w:trPr>
          <w:trHeight w:val="291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21201</w:t>
            </w: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Materiales y útiles de impresión y reproducción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>-$21,278,826</w:t>
            </w:r>
          </w:p>
        </w:tc>
      </w:tr>
      <w:tr w:rsidR="003555B2" w:rsidRPr="003555B2" w:rsidTr="0029546D">
        <w:trPr>
          <w:trHeight w:val="291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21601</w:t>
            </w: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Material de limpieza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>-$24,310,391</w:t>
            </w:r>
          </w:p>
        </w:tc>
      </w:tr>
      <w:tr w:rsidR="003555B2" w:rsidRPr="003555B2" w:rsidTr="0029546D">
        <w:trPr>
          <w:trHeight w:val="291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25301</w:t>
            </w: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Medicinas y productos farmacéuticos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>-$71,822,829</w:t>
            </w:r>
          </w:p>
        </w:tc>
      </w:tr>
      <w:tr w:rsidR="003555B2" w:rsidRPr="003555B2" w:rsidTr="0029546D">
        <w:trPr>
          <w:trHeight w:val="291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Vacunas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s-MX"/>
              </w:rPr>
              <w:t>-$57,997,300</w:t>
            </w:r>
          </w:p>
        </w:tc>
      </w:tr>
      <w:tr w:rsidR="003555B2" w:rsidRPr="003555B2" w:rsidTr="0029546D">
        <w:trPr>
          <w:trHeight w:val="291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proofErr w:type="spellStart"/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Estupef</w:t>
            </w:r>
            <w:proofErr w:type="spellEnd"/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. y substancias psicotrópicas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s-MX"/>
              </w:rPr>
              <w:t>-$7,663,116</w:t>
            </w:r>
          </w:p>
        </w:tc>
      </w:tr>
      <w:tr w:rsidR="003555B2" w:rsidRPr="003555B2" w:rsidTr="0029546D">
        <w:trPr>
          <w:trHeight w:val="291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Medicinas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s-MX"/>
              </w:rPr>
              <w:t>-$4,380,834</w:t>
            </w:r>
          </w:p>
        </w:tc>
      </w:tr>
      <w:tr w:rsidR="003555B2" w:rsidRPr="003555B2" w:rsidTr="0029546D">
        <w:trPr>
          <w:trHeight w:val="291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Medicamentos de alta especialidad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s-MX"/>
              </w:rPr>
              <w:t>-$1,781,580</w:t>
            </w:r>
          </w:p>
        </w:tc>
      </w:tr>
      <w:tr w:rsidR="003555B2" w:rsidRPr="003555B2" w:rsidTr="0029546D">
        <w:trPr>
          <w:trHeight w:val="291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25401</w:t>
            </w: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Materiales, accesorios y suministros médicos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>-$25,887,980</w:t>
            </w:r>
          </w:p>
        </w:tc>
      </w:tr>
      <w:tr w:rsidR="003555B2" w:rsidRPr="003555B2" w:rsidTr="0029546D">
        <w:trPr>
          <w:trHeight w:val="291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proofErr w:type="spellStart"/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Equip</w:t>
            </w:r>
            <w:proofErr w:type="spellEnd"/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 xml:space="preserve">. </w:t>
            </w:r>
            <w:proofErr w:type="spellStart"/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instrum.y</w:t>
            </w:r>
            <w:proofErr w:type="spellEnd"/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 xml:space="preserve"> </w:t>
            </w:r>
            <w:proofErr w:type="spellStart"/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acces</w:t>
            </w:r>
            <w:proofErr w:type="spellEnd"/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 xml:space="preserve"> médicos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s-MX"/>
              </w:rPr>
              <w:t>-$17,024,860</w:t>
            </w:r>
          </w:p>
        </w:tc>
      </w:tr>
      <w:tr w:rsidR="003555B2" w:rsidRPr="003555B2" w:rsidTr="0029546D">
        <w:trPr>
          <w:trHeight w:val="291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Material de curación sustantivo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s-MX"/>
              </w:rPr>
              <w:t>-$3,651,687</w:t>
            </w:r>
          </w:p>
        </w:tc>
      </w:tr>
      <w:tr w:rsidR="003555B2" w:rsidRPr="003555B2" w:rsidTr="0029546D">
        <w:trPr>
          <w:trHeight w:val="291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Oxígeno hospitalario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s-MX"/>
              </w:rPr>
              <w:t>-$2,526,638</w:t>
            </w:r>
          </w:p>
        </w:tc>
      </w:tr>
      <w:tr w:rsidR="003555B2" w:rsidRPr="003555B2" w:rsidTr="0029546D">
        <w:trPr>
          <w:trHeight w:val="291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Material Radiológico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s-MX"/>
              </w:rPr>
              <w:t>-$997,022</w:t>
            </w:r>
          </w:p>
        </w:tc>
      </w:tr>
      <w:tr w:rsidR="003555B2" w:rsidRPr="003555B2" w:rsidTr="0029546D">
        <w:trPr>
          <w:trHeight w:val="291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25501</w:t>
            </w: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Materiales, accesorios y suministros de laboratorio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>-$20,427,736</w:t>
            </w:r>
          </w:p>
        </w:tc>
      </w:tr>
      <w:tr w:rsidR="003555B2" w:rsidRPr="003555B2" w:rsidTr="0029546D">
        <w:trPr>
          <w:trHeight w:val="291"/>
        </w:trPr>
        <w:tc>
          <w:tcPr>
            <w:tcW w:w="6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27101</w:t>
            </w:r>
          </w:p>
        </w:tc>
        <w:tc>
          <w:tcPr>
            <w:tcW w:w="72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Vestuario y uniformes</w:t>
            </w:r>
          </w:p>
        </w:tc>
        <w:tc>
          <w:tcPr>
            <w:tcW w:w="156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>-$7,456,310</w:t>
            </w:r>
          </w:p>
        </w:tc>
      </w:tr>
      <w:tr w:rsidR="003555B2" w:rsidRPr="003555B2" w:rsidTr="0029546D">
        <w:trPr>
          <w:trHeight w:val="291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22102</w:t>
            </w:r>
          </w:p>
        </w:tc>
        <w:tc>
          <w:tcPr>
            <w:tcW w:w="7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Lácteos y víveres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2954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$4,432,790</w:t>
            </w:r>
          </w:p>
        </w:tc>
      </w:tr>
    </w:tbl>
    <w:p w:rsidR="009D385D" w:rsidRDefault="009D385D">
      <w:r>
        <w:br w:type="page"/>
      </w:r>
    </w:p>
    <w:tbl>
      <w:tblPr>
        <w:tblW w:w="10944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68"/>
        <w:gridCol w:w="710"/>
        <w:gridCol w:w="761"/>
        <w:gridCol w:w="7242"/>
        <w:gridCol w:w="1563"/>
      </w:tblGrid>
      <w:tr w:rsidR="003555B2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8713" w:type="dxa"/>
            <w:gridSpan w:val="3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Indirectos por Servicios generales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s-MX"/>
              </w:rPr>
              <w:t>-$76,061,253</w:t>
            </w:r>
          </w:p>
        </w:tc>
      </w:tr>
      <w:tr w:rsidR="003555B2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39602</w:t>
            </w:r>
          </w:p>
        </w:tc>
        <w:tc>
          <w:tcPr>
            <w:tcW w:w="7242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Otros gastos por responsabilidades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>-$165,161,469</w:t>
            </w:r>
          </w:p>
        </w:tc>
      </w:tr>
      <w:tr w:rsidR="003555B2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242" w:type="dxa"/>
            <w:shd w:val="clear" w:color="000000" w:fill="F2F2F2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proofErr w:type="spellStart"/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Atn</w:t>
            </w:r>
            <w:proofErr w:type="spellEnd"/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 xml:space="preserve"> </w:t>
            </w:r>
            <w:proofErr w:type="spellStart"/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med</w:t>
            </w:r>
            <w:proofErr w:type="spellEnd"/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 xml:space="preserve"> </w:t>
            </w:r>
            <w:proofErr w:type="spellStart"/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derch.imss</w:t>
            </w:r>
            <w:proofErr w:type="spellEnd"/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/sol.sol/</w:t>
            </w:r>
            <w:proofErr w:type="spellStart"/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soc</w:t>
            </w:r>
            <w:proofErr w:type="spellEnd"/>
          </w:p>
        </w:tc>
        <w:tc>
          <w:tcPr>
            <w:tcW w:w="1563" w:type="dxa"/>
            <w:shd w:val="clear" w:color="000000" w:fill="F2F2F2"/>
            <w:noWrap/>
            <w:vAlign w:val="center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s-MX"/>
              </w:rPr>
              <w:t>-$310,165,860</w:t>
            </w:r>
          </w:p>
        </w:tc>
      </w:tr>
      <w:tr w:rsidR="003555B2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242" w:type="dxa"/>
            <w:shd w:val="clear" w:color="000000" w:fill="F2F2F2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 xml:space="preserve">Atn.med embarazadas </w:t>
            </w:r>
            <w:proofErr w:type="spellStart"/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oportunohabientes</w:t>
            </w:r>
            <w:proofErr w:type="spellEnd"/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 xml:space="preserve"> en hospitales de IMSSR</w:t>
            </w:r>
          </w:p>
        </w:tc>
        <w:tc>
          <w:tcPr>
            <w:tcW w:w="1563" w:type="dxa"/>
            <w:shd w:val="clear" w:color="000000" w:fill="F2F2F2"/>
            <w:noWrap/>
            <w:vAlign w:val="center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es-MX"/>
              </w:rPr>
              <w:t>$130,283,965</w:t>
            </w:r>
          </w:p>
        </w:tc>
      </w:tr>
      <w:tr w:rsidR="003555B2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242" w:type="dxa"/>
            <w:shd w:val="clear" w:color="000000" w:fill="F2F2F2"/>
            <w:noWrap/>
            <w:vAlign w:val="center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3555B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es-MX"/>
              </w:rPr>
              <w:t>Rect.result.ej.ant.x</w:t>
            </w:r>
            <w:proofErr w:type="spellEnd"/>
            <w:r w:rsidRPr="003555B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es-MX"/>
              </w:rPr>
              <w:t xml:space="preserve"> </w:t>
            </w:r>
            <w:proofErr w:type="spellStart"/>
            <w:r w:rsidRPr="003555B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es-MX"/>
              </w:rPr>
              <w:t>serv</w:t>
            </w:r>
            <w:proofErr w:type="spellEnd"/>
            <w:r w:rsidRPr="003555B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es-MX"/>
              </w:rPr>
              <w:t>/</w:t>
            </w:r>
            <w:proofErr w:type="spellStart"/>
            <w:r w:rsidRPr="003555B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es-MX"/>
              </w:rPr>
              <w:t>pers</w:t>
            </w:r>
            <w:proofErr w:type="spellEnd"/>
          </w:p>
        </w:tc>
        <w:tc>
          <w:tcPr>
            <w:tcW w:w="1563" w:type="dxa"/>
            <w:shd w:val="clear" w:color="000000" w:fill="F2F2F2"/>
            <w:noWrap/>
            <w:vAlign w:val="center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es-MX"/>
              </w:rPr>
              <w:t>$17,226,815</w:t>
            </w:r>
          </w:p>
        </w:tc>
      </w:tr>
      <w:tr w:rsidR="003555B2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31701</w:t>
            </w:r>
          </w:p>
        </w:tc>
        <w:tc>
          <w:tcPr>
            <w:tcW w:w="7242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Servicios de conducción de señales analógicas y digitales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>-$9,770,581</w:t>
            </w:r>
          </w:p>
        </w:tc>
      </w:tr>
      <w:tr w:rsidR="003555B2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33602</w:t>
            </w:r>
          </w:p>
        </w:tc>
        <w:tc>
          <w:tcPr>
            <w:tcW w:w="7242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Otros servicios comerciales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>-$8,023,247</w:t>
            </w:r>
          </w:p>
        </w:tc>
      </w:tr>
      <w:tr w:rsidR="003555B2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37901</w:t>
            </w:r>
          </w:p>
        </w:tc>
        <w:tc>
          <w:tcPr>
            <w:tcW w:w="7242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Capacitación a volunt.de la comunidad.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>-$7,736,933</w:t>
            </w:r>
          </w:p>
        </w:tc>
      </w:tr>
      <w:tr w:rsidR="003555B2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31301</w:t>
            </w:r>
          </w:p>
        </w:tc>
        <w:tc>
          <w:tcPr>
            <w:tcW w:w="7242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Servicio de agua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>-$6,084,729</w:t>
            </w:r>
          </w:p>
        </w:tc>
      </w:tr>
      <w:tr w:rsidR="003555B2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32502</w:t>
            </w:r>
          </w:p>
        </w:tc>
        <w:tc>
          <w:tcPr>
            <w:tcW w:w="7242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Arrendamiento de vehículos para operación de programas públicos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>-$4,071,973</w:t>
            </w:r>
          </w:p>
        </w:tc>
      </w:tr>
      <w:tr w:rsidR="003555B2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33901</w:t>
            </w:r>
          </w:p>
        </w:tc>
        <w:tc>
          <w:tcPr>
            <w:tcW w:w="7242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Subrogación de </w:t>
            </w:r>
            <w:proofErr w:type="spellStart"/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servs.diag.lab</w:t>
            </w:r>
            <w:proofErr w:type="spellEnd"/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.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>-$3,717,618</w:t>
            </w:r>
          </w:p>
        </w:tc>
      </w:tr>
      <w:tr w:rsidR="003555B2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32201</w:t>
            </w:r>
          </w:p>
        </w:tc>
        <w:tc>
          <w:tcPr>
            <w:tcW w:w="7242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De </w:t>
            </w:r>
            <w:proofErr w:type="spellStart"/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inmbl</w:t>
            </w:r>
            <w:proofErr w:type="spellEnd"/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. </w:t>
            </w:r>
            <w:proofErr w:type="gramStart"/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y</w:t>
            </w:r>
            <w:proofErr w:type="gramEnd"/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cajones de </w:t>
            </w:r>
            <w:proofErr w:type="spellStart"/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estac</w:t>
            </w:r>
            <w:proofErr w:type="spellEnd"/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.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>-$2,235,371</w:t>
            </w:r>
          </w:p>
        </w:tc>
      </w:tr>
      <w:tr w:rsidR="003555B2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33603</w:t>
            </w:r>
          </w:p>
        </w:tc>
        <w:tc>
          <w:tcPr>
            <w:tcW w:w="7242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Impresiones de documentos en Diario Oficial de la Fed.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>-$2,019,291</w:t>
            </w:r>
          </w:p>
        </w:tc>
      </w:tr>
      <w:tr w:rsidR="003555B2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31401</w:t>
            </w:r>
          </w:p>
        </w:tc>
        <w:tc>
          <w:tcPr>
            <w:tcW w:w="7242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Servicio telefónico convencional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>-$1,164,839</w:t>
            </w:r>
          </w:p>
        </w:tc>
      </w:tr>
      <w:tr w:rsidR="003555B2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38201</w:t>
            </w:r>
          </w:p>
        </w:tc>
        <w:tc>
          <w:tcPr>
            <w:tcW w:w="7242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Gastos de orden social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$74,307,663</w:t>
            </w:r>
          </w:p>
        </w:tc>
      </w:tr>
      <w:tr w:rsidR="003555B2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242" w:type="dxa"/>
            <w:shd w:val="clear" w:color="000000" w:fill="F2F2F2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Comp. eco volunt.de comunidad</w:t>
            </w:r>
          </w:p>
        </w:tc>
        <w:tc>
          <w:tcPr>
            <w:tcW w:w="1563" w:type="dxa"/>
            <w:shd w:val="clear" w:color="000000" w:fill="F2F2F2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$47,635,285</w:t>
            </w:r>
          </w:p>
        </w:tc>
      </w:tr>
      <w:tr w:rsidR="003555B2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242" w:type="dxa"/>
            <w:shd w:val="clear" w:color="000000" w:fill="F2F2F2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 xml:space="preserve">Apoyo de </w:t>
            </w:r>
            <w:proofErr w:type="spellStart"/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vinc</w:t>
            </w:r>
            <w:proofErr w:type="spellEnd"/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 xml:space="preserve"> c/parteras rurales</w:t>
            </w:r>
          </w:p>
        </w:tc>
        <w:tc>
          <w:tcPr>
            <w:tcW w:w="1563" w:type="dxa"/>
            <w:shd w:val="clear" w:color="000000" w:fill="F2F2F2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$23,313,548</w:t>
            </w:r>
          </w:p>
        </w:tc>
      </w:tr>
      <w:tr w:rsidR="003555B2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242" w:type="dxa"/>
            <w:shd w:val="clear" w:color="000000" w:fill="F2F2F2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Indemnización a solidario-</w:t>
            </w:r>
            <w:proofErr w:type="spellStart"/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hab</w:t>
            </w:r>
            <w:proofErr w:type="spellEnd"/>
          </w:p>
        </w:tc>
        <w:tc>
          <w:tcPr>
            <w:tcW w:w="1563" w:type="dxa"/>
            <w:shd w:val="clear" w:color="000000" w:fill="F2F2F2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$5,184,479</w:t>
            </w:r>
          </w:p>
        </w:tc>
      </w:tr>
      <w:tr w:rsidR="003555B2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242" w:type="dxa"/>
            <w:shd w:val="clear" w:color="000000" w:fill="F2F2F2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  <w:t>Op.de albergues comunitarios</w:t>
            </w:r>
          </w:p>
        </w:tc>
        <w:tc>
          <w:tcPr>
            <w:tcW w:w="1563" w:type="dxa"/>
            <w:shd w:val="clear" w:color="000000" w:fill="F2F2F2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s-MX"/>
              </w:rPr>
              <w:t>-$1,911,148</w:t>
            </w:r>
          </w:p>
        </w:tc>
      </w:tr>
      <w:tr w:rsidR="003555B2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37501</w:t>
            </w:r>
          </w:p>
        </w:tc>
        <w:tc>
          <w:tcPr>
            <w:tcW w:w="7242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Viáticos nacionales para labores en campo y de supervisión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$48,970,704</w:t>
            </w:r>
          </w:p>
        </w:tc>
      </w:tr>
      <w:tr w:rsidR="003555B2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34701</w:t>
            </w:r>
          </w:p>
        </w:tc>
        <w:tc>
          <w:tcPr>
            <w:tcW w:w="7242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Fletes y maniobras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$10,129,624</w:t>
            </w:r>
          </w:p>
        </w:tc>
      </w:tr>
      <w:tr w:rsidR="003555B2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34501</w:t>
            </w:r>
          </w:p>
        </w:tc>
        <w:tc>
          <w:tcPr>
            <w:tcW w:w="7242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Seguros de bienes patrimoniales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$1,810,872</w:t>
            </w:r>
          </w:p>
        </w:tc>
      </w:tr>
      <w:tr w:rsidR="009D385D" w:rsidRPr="003555B2" w:rsidTr="0029546D">
        <w:trPr>
          <w:trHeight w:val="328"/>
        </w:trPr>
        <w:tc>
          <w:tcPr>
            <w:tcW w:w="668" w:type="dxa"/>
            <w:shd w:val="clear" w:color="auto" w:fill="auto"/>
            <w:noWrap/>
            <w:vAlign w:val="bottom"/>
            <w:hideMark/>
          </w:tcPr>
          <w:p w:rsidR="009D385D" w:rsidRPr="003555B2" w:rsidRDefault="009D385D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713" w:type="dxa"/>
            <w:gridSpan w:val="3"/>
            <w:shd w:val="clear" w:color="auto" w:fill="auto"/>
            <w:noWrap/>
            <w:vAlign w:val="bottom"/>
            <w:hideMark/>
          </w:tcPr>
          <w:p w:rsidR="009D385D" w:rsidRPr="003555B2" w:rsidRDefault="009D385D" w:rsidP="009D385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Indirectos por </w:t>
            </w:r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Depreciaciones</w:t>
            </w: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9D385D" w:rsidRPr="003555B2" w:rsidRDefault="009D385D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$222,951,400</w:t>
            </w:r>
          </w:p>
        </w:tc>
      </w:tr>
      <w:tr w:rsidR="003555B2" w:rsidRPr="003555B2" w:rsidTr="00295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8"/>
        </w:trPr>
        <w:tc>
          <w:tcPr>
            <w:tcW w:w="938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Gastos en mantenimiento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$98,366,630</w:t>
            </w:r>
          </w:p>
        </w:tc>
      </w:tr>
      <w:tr w:rsidR="003555B2" w:rsidRPr="003555B2" w:rsidTr="00295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8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Bienes de consumo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$10,796,843</w:t>
            </w:r>
          </w:p>
        </w:tc>
      </w:tr>
      <w:tr w:rsidR="003555B2" w:rsidRPr="003555B2" w:rsidTr="00295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8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s/c</w:t>
            </w: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Refacciones y </w:t>
            </w:r>
            <w:proofErr w:type="spellStart"/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acces</w:t>
            </w:r>
            <w:proofErr w:type="spellEnd"/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. </w:t>
            </w:r>
            <w:proofErr w:type="gramStart"/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de</w:t>
            </w:r>
            <w:proofErr w:type="gramEnd"/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</w:t>
            </w:r>
            <w:proofErr w:type="spellStart"/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eq.e</w:t>
            </w:r>
            <w:proofErr w:type="spellEnd"/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instrumental </w:t>
            </w:r>
            <w:proofErr w:type="spellStart"/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méd</w:t>
            </w:r>
            <w:proofErr w:type="spellEnd"/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. y laboratorio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$6,057,351</w:t>
            </w:r>
          </w:p>
        </w:tc>
      </w:tr>
      <w:tr w:rsidR="003555B2" w:rsidRPr="003555B2" w:rsidTr="00295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8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s/c</w:t>
            </w: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Refacciones y </w:t>
            </w:r>
            <w:proofErr w:type="spellStart"/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acces</w:t>
            </w:r>
            <w:proofErr w:type="spellEnd"/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. </w:t>
            </w:r>
            <w:proofErr w:type="gramStart"/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menores</w:t>
            </w:r>
            <w:proofErr w:type="gramEnd"/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de </w:t>
            </w:r>
            <w:proofErr w:type="spellStart"/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maq</w:t>
            </w:r>
            <w:proofErr w:type="spellEnd"/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. y otros equipos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$4,739,493</w:t>
            </w:r>
          </w:p>
        </w:tc>
      </w:tr>
      <w:tr w:rsidR="003555B2" w:rsidRPr="003555B2" w:rsidTr="00295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8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$87,569,787</w:t>
            </w:r>
          </w:p>
        </w:tc>
      </w:tr>
      <w:tr w:rsidR="003555B2" w:rsidRPr="003555B2" w:rsidTr="00295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8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Mantenimiento y conservación de inmuebles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$87,989,374</w:t>
            </w:r>
          </w:p>
        </w:tc>
      </w:tr>
      <w:tr w:rsidR="003555B2" w:rsidRPr="003555B2" w:rsidTr="00295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8"/>
        </w:trPr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Gastos en capital</w:t>
            </w: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s-MX"/>
              </w:rPr>
              <w:t>-$161,233,218</w:t>
            </w:r>
          </w:p>
        </w:tc>
      </w:tr>
      <w:tr w:rsidR="003555B2" w:rsidRPr="003555B2" w:rsidTr="00295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8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s/c</w:t>
            </w: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Bienes muebles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>-$192,517,235</w:t>
            </w:r>
          </w:p>
        </w:tc>
      </w:tr>
      <w:tr w:rsidR="003555B2" w:rsidRPr="003555B2" w:rsidTr="002954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8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s/c</w:t>
            </w:r>
          </w:p>
        </w:tc>
        <w:tc>
          <w:tcPr>
            <w:tcW w:w="7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Obra pub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5B2" w:rsidRPr="003555B2" w:rsidRDefault="003555B2" w:rsidP="003555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555B2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$31,284,017</w:t>
            </w:r>
          </w:p>
        </w:tc>
      </w:tr>
    </w:tbl>
    <w:p w:rsidR="003555B2" w:rsidRDefault="003555B2"/>
    <w:sectPr w:rsidR="003555B2" w:rsidSect="00282DE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437E0"/>
    <w:rsid w:val="0005202A"/>
    <w:rsid w:val="000D1480"/>
    <w:rsid w:val="00114978"/>
    <w:rsid w:val="001D07DC"/>
    <w:rsid w:val="00282DEA"/>
    <w:rsid w:val="0029546D"/>
    <w:rsid w:val="002C3D13"/>
    <w:rsid w:val="00314B14"/>
    <w:rsid w:val="003555B2"/>
    <w:rsid w:val="00465621"/>
    <w:rsid w:val="00587213"/>
    <w:rsid w:val="006C5AE5"/>
    <w:rsid w:val="00844449"/>
    <w:rsid w:val="008E0B36"/>
    <w:rsid w:val="009927B2"/>
    <w:rsid w:val="009D385D"/>
    <w:rsid w:val="00A27EA1"/>
    <w:rsid w:val="00AF26D9"/>
    <w:rsid w:val="00B004BF"/>
    <w:rsid w:val="00B924A5"/>
    <w:rsid w:val="00BF60AD"/>
    <w:rsid w:val="00C02016"/>
    <w:rsid w:val="00C5328F"/>
    <w:rsid w:val="00CD22E9"/>
    <w:rsid w:val="00E37809"/>
    <w:rsid w:val="00E437E0"/>
    <w:rsid w:val="00EF78AE"/>
    <w:rsid w:val="00F7753B"/>
    <w:rsid w:val="00F96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02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3</Pages>
  <Words>1109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angelica.castror</dc:creator>
  <cp:lastModifiedBy>acr</cp:lastModifiedBy>
  <cp:revision>14</cp:revision>
  <dcterms:created xsi:type="dcterms:W3CDTF">2012-04-09T21:04:00Z</dcterms:created>
  <dcterms:modified xsi:type="dcterms:W3CDTF">2012-04-23T00:03:00Z</dcterms:modified>
</cp:coreProperties>
</file>