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40"/>
        <w:gridCol w:w="2127"/>
        <w:gridCol w:w="3128"/>
      </w:tblGrid>
      <w:tr w:rsidR="0001222E" w:rsidRPr="007D4E07" w:rsidTr="009B4875">
        <w:trPr>
          <w:trHeight w:hRule="exact" w:val="428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01222E" w:rsidRPr="00417DD9" w:rsidRDefault="0001222E" w:rsidP="007C3174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bookmarkStart w:id="0" w:name="_GoBack"/>
            <w:bookmarkEnd w:id="0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Dictamen para efectos del Seguro Social</w:t>
            </w:r>
            <w:r w:rsidR="00F15AEE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</w:t>
            </w: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Información patronal</w:t>
            </w:r>
            <w:r w:rsidR="00DB1CF0"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: </w:t>
            </w:r>
            <w:r w:rsidR="00624C8E" w:rsidRPr="00624C8E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Cédula de análisis de otros ingresos por salario</w:t>
            </w:r>
          </w:p>
        </w:tc>
      </w:tr>
      <w:tr w:rsidR="003A1D94" w:rsidRPr="007D4E07" w:rsidTr="00276A09">
        <w:trPr>
          <w:trHeight w:hRule="exact" w:val="301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417DD9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proofErr w:type="spellStart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Homoclave</w:t>
            </w:r>
            <w:proofErr w:type="spellEnd"/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 xml:space="preserve"> del formato</w:t>
            </w:r>
          </w:p>
        </w:tc>
      </w:tr>
      <w:tr w:rsidR="003A1D94" w:rsidRPr="00786906" w:rsidTr="001B2EAD">
        <w:trPr>
          <w:trHeight w:val="375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C94E4F" w:rsidRDefault="003A1D94" w:rsidP="00E2694D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IMSS-02-087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8D1592" w:rsidRDefault="00F15AEE" w:rsidP="008D1592">
            <w:pPr>
              <w:jc w:val="center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781F4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FF-IMSS-</w:t>
            </w:r>
            <w:r w:rsidR="00781F44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047</w:t>
            </w:r>
          </w:p>
        </w:tc>
      </w:tr>
      <w:tr w:rsidR="0001222E" w:rsidRPr="007D4E07" w:rsidTr="007C3174">
        <w:trPr>
          <w:trHeight w:hRule="exact" w:val="28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1222E" w:rsidRPr="00417DD9" w:rsidRDefault="0001222E" w:rsidP="00E269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</w:pPr>
            <w:r w:rsidRPr="00417DD9">
              <w:rPr>
                <w:rFonts w:ascii="Arial" w:hAnsi="Arial" w:cs="Arial"/>
                <w:color w:val="404040" w:themeColor="text1" w:themeTint="BF"/>
                <w:sz w:val="19"/>
                <w:szCs w:val="19"/>
              </w:rPr>
              <w:t>Datos generales del patrón</w:t>
            </w:r>
          </w:p>
        </w:tc>
      </w:tr>
      <w:tr w:rsidR="0001222E" w:rsidRPr="007D4E07" w:rsidTr="00F90036">
        <w:trPr>
          <w:trHeight w:hRule="exact" w:val="462"/>
        </w:trPr>
        <w:tc>
          <w:tcPr>
            <w:tcW w:w="51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Nombre, denominación o razón social: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RFC:</w:t>
            </w: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7D4E07" w:rsidRDefault="0001222E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31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1222E" w:rsidRPr="007D4E07" w:rsidRDefault="007A064F" w:rsidP="007A064F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Ejercicio o periodo a dictaminar:</w:t>
            </w:r>
          </w:p>
          <w:p w:rsidR="0001222E" w:rsidRPr="007D4E07" w:rsidRDefault="007A064F" w:rsidP="007E590E">
            <w:pP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   </w:t>
            </w:r>
            <w:r w:rsidR="0001222E" w:rsidRPr="007D4E07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Del                               </w:t>
            </w:r>
            <w:r w:rsidR="007E590E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 xml:space="preserve">Al </w:t>
            </w:r>
          </w:p>
        </w:tc>
      </w:tr>
      <w:tr w:rsidR="006C1E63" w:rsidRPr="006C1E63" w:rsidTr="00F90036">
        <w:tblPrEx>
          <w:jc w:val="right"/>
          <w:tblBorders>
            <w:top w:val="single" w:sz="4" w:space="0" w:color="FFFFFF" w:themeColor="background1"/>
            <w:left w:val="none" w:sz="0" w:space="0" w:color="auto"/>
            <w:bottom w:val="single" w:sz="4" w:space="0" w:color="FFFFFF" w:themeColor="background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37"/>
          <w:jc w:val="right"/>
        </w:trPr>
        <w:tc>
          <w:tcPr>
            <w:tcW w:w="10495" w:type="dxa"/>
            <w:gridSpan w:val="4"/>
            <w:vAlign w:val="center"/>
          </w:tcPr>
          <w:p w:rsidR="001B3EC8" w:rsidRPr="0001222E" w:rsidRDefault="001B3EC8" w:rsidP="0001222E">
            <w:pPr>
              <w:ind w:right="113"/>
              <w:jc w:val="both"/>
              <w:rPr>
                <w:rFonts w:ascii="Arial" w:hAnsi="Arial" w:cs="Arial"/>
                <w:color w:val="404040" w:themeColor="text1" w:themeTint="BF"/>
                <w:sz w:val="10"/>
                <w:szCs w:val="10"/>
              </w:rPr>
            </w:pPr>
          </w:p>
          <w:p w:rsidR="004513F2" w:rsidRDefault="00C144DF" w:rsidP="004513F2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esta sección deberá ingresar la información que se requiere en cada columna, correspondiente a las cantidades pagadas </w:t>
            </w:r>
            <w:r w:rsidR="0093557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de otros ingresos por salario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bimestralmente 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por el Patrón o Sujeto Obligado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a los trabajadores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a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registrados en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los Comprobantes Fiscales Digitales por Internet (CFDI) </w:t>
            </w:r>
            <w:r w:rsidR="004513F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el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timbrado de nómina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,</w:t>
            </w:r>
            <w:r w:rsidR="004513F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correspondiente al </w:t>
            </w:r>
            <w:r w:rsidR="004513F2" w:rsidRPr="004513F2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sexto bimestre anterior al ejercicio dictaminado y al sexto bimestre del ejercicio dictaminado.</w:t>
            </w:r>
          </w:p>
          <w:p w:rsidR="00C144DF" w:rsidRPr="00825BAE" w:rsidRDefault="00C144DF" w:rsidP="00C144DF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l número consecutivo que se indique al inicio de esta sección, deberá ser el mismo para las demás hojas que integran este formato, ya que la información que se prop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orcione debe corresponder al mismo concepto variable sobre otros ingresos por salario que</w:t>
            </w:r>
            <w:r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se ingresen en esta hoja.</w:t>
            </w: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6C1E63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286682" w:rsidRPr="006C1E63" w:rsidRDefault="00286682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3260"/>
        <w:gridCol w:w="3402"/>
        <w:gridCol w:w="2977"/>
      </w:tblGrid>
      <w:tr w:rsidR="00276A09" w:rsidRPr="00220E3E" w:rsidTr="006A445C">
        <w:trPr>
          <w:trHeight w:hRule="exact" w:val="297"/>
        </w:trPr>
        <w:tc>
          <w:tcPr>
            <w:tcW w:w="85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A09" w:rsidRPr="001B2EAD" w:rsidRDefault="00276A09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Consecutivo</w:t>
            </w:r>
          </w:p>
        </w:tc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A09" w:rsidRPr="00220E3E" w:rsidRDefault="00624C8E" w:rsidP="00072F02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220E3E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Detalle de conceptos sobre otros ingresos por salario</w:t>
            </w:r>
          </w:p>
        </w:tc>
      </w:tr>
      <w:tr w:rsidR="00D248A5" w:rsidRPr="00220E3E" w:rsidTr="00D248A5">
        <w:trPr>
          <w:trHeight w:val="1125"/>
        </w:trPr>
        <w:tc>
          <w:tcPr>
            <w:tcW w:w="856" w:type="dxa"/>
            <w:vMerge/>
            <w:tcBorders>
              <w:top w:val="single" w:sz="4" w:space="0" w:color="B2B2B2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248A5" w:rsidRPr="001B2EAD" w:rsidRDefault="00D248A5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248A5" w:rsidRPr="00220E3E" w:rsidRDefault="00D248A5" w:rsidP="001549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248A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Conceptos considerados en otros ingresos por salario</w:t>
            </w: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248A5" w:rsidRPr="00220E3E" w:rsidRDefault="00D248A5" w:rsidP="0088737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248A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Importe considerado en otros ingresos por salarios que fueron variables del sexto bimestre anterior al ejercicio dictaminado</w:t>
            </w: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D248A5" w:rsidRPr="00220E3E" w:rsidRDefault="00D248A5" w:rsidP="00D248A5">
            <w:pPr>
              <w:autoSpaceDE w:val="0"/>
              <w:autoSpaceDN w:val="0"/>
              <w:adjustRightInd w:val="0"/>
              <w:spacing w:line="209" w:lineRule="exact"/>
              <w:ind w:left="142" w:right="121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248A5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Importe considerado en otros ingresos por salarios que fueron variables del sexto bimestre del ejercicio dictaminado</w:t>
            </w: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</w:t>
            </w:r>
          </w:p>
        </w:tc>
        <w:tc>
          <w:tcPr>
            <w:tcW w:w="3260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D248A5" w:rsidRPr="000F2E80" w:rsidRDefault="00D248A5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D248A5" w:rsidRPr="000F2E80" w:rsidRDefault="00D248A5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34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hRule="exact" w:val="191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19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24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25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26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27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28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29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30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31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32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209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F90036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33</w:t>
            </w: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1B2EAD" w:rsidRDefault="00D248A5" w:rsidP="001B2EAD">
            <w:pPr>
              <w:autoSpaceDE w:val="0"/>
              <w:autoSpaceDN w:val="0"/>
              <w:adjustRightInd w:val="0"/>
              <w:spacing w:line="209" w:lineRule="exact"/>
              <w:ind w:left="40" w:right="-20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  <w:tr w:rsidR="00D248A5" w:rsidRPr="006C1E63" w:rsidTr="00D248A5">
        <w:trPr>
          <w:trHeight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248A5" w:rsidRPr="001B2EAD" w:rsidRDefault="00D248A5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248A5" w:rsidRPr="001B2EAD" w:rsidRDefault="00D248A5" w:rsidP="006A445C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1B2EAD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Totales</w:t>
            </w:r>
          </w:p>
        </w:tc>
        <w:tc>
          <w:tcPr>
            <w:tcW w:w="340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248A5" w:rsidRPr="000F2E80" w:rsidRDefault="00D248A5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248A5" w:rsidRPr="000F2E80" w:rsidRDefault="00D248A5" w:rsidP="006A445C">
            <w:pPr>
              <w:ind w:left="167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p w:rsidR="00162F18" w:rsidRDefault="00162F18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162F18" w:rsidRPr="006C1E63" w:rsidRDefault="00162F18" w:rsidP="00C144DF">
      <w:pPr>
        <w:rPr>
          <w:rFonts w:ascii="Arial" w:hAnsi="Arial" w:cs="Arial"/>
          <w:color w:val="404040" w:themeColor="text1" w:themeTint="BF"/>
          <w:sz w:val="2"/>
          <w:szCs w:val="2"/>
        </w:rPr>
      </w:pPr>
    </w:p>
    <w:sectPr w:rsidR="00162F18" w:rsidRPr="006C1E63" w:rsidSect="00560A91">
      <w:headerReference w:type="default" r:id="rId9"/>
      <w:footerReference w:type="default" r:id="rId10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E9" w:rsidRDefault="005E04E9" w:rsidP="001D2D9C">
      <w:pPr>
        <w:spacing w:after="0" w:line="240" w:lineRule="auto"/>
      </w:pPr>
      <w:r>
        <w:separator/>
      </w:r>
    </w:p>
  </w:endnote>
  <w:endnote w:type="continuationSeparator" w:id="0">
    <w:p w:rsidR="005E04E9" w:rsidRDefault="005E04E9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632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642"/>
    </w:tblGrid>
    <w:tr w:rsidR="00F15AEE" w:rsidRPr="00B4091E" w:rsidTr="00877943">
      <w:trPr>
        <w:trHeight w:hRule="exact" w:val="50"/>
      </w:trPr>
      <w:tc>
        <w:tcPr>
          <w:tcW w:w="10632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15AEE" w:rsidRPr="00B4091E" w:rsidRDefault="00F15AEE" w:rsidP="00F15AEE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15AEE" w:rsidRPr="00B4091E" w:rsidTr="00877943">
      <w:trPr>
        <w:trHeight w:val="727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15AEE" w:rsidRPr="00B4091E" w:rsidRDefault="00A932D6" w:rsidP="00F15AEE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pict>
          </w:r>
          <w:r w:rsidR="00F15AEE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F15AEE" w:rsidRPr="00B4091E" w:rsidRDefault="00F15AEE" w:rsidP="00F15AEE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642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15AEE" w:rsidRPr="00300009" w:rsidRDefault="00F15AEE" w:rsidP="00F15AEE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15AEE" w:rsidRPr="00B4091E" w:rsidRDefault="00F15AEE" w:rsidP="001B2EAD">
          <w:pPr>
            <w:spacing w:line="140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</w:tc>
    </w:tr>
  </w:tbl>
  <w:p w:rsidR="00F15AEE" w:rsidRPr="00914CD1" w:rsidRDefault="00F15AEE" w:rsidP="00A714A5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15AEE" w:rsidRPr="00305430" w:rsidRDefault="00F15AEE" w:rsidP="00A714A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932D6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A932D6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15AEE" w:rsidRDefault="005E04E9" w:rsidP="00A714A5">
            <w:pPr>
              <w:pStyle w:val="Piedepgina"/>
              <w:tabs>
                <w:tab w:val="clear" w:pos="4419"/>
                <w:tab w:val="clear" w:pos="8838"/>
                <w:tab w:val="left" w:pos="1832"/>
              </w:tabs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E9" w:rsidRDefault="005E04E9" w:rsidP="001D2D9C">
      <w:pPr>
        <w:spacing w:after="0" w:line="240" w:lineRule="auto"/>
      </w:pPr>
      <w:r>
        <w:separator/>
      </w:r>
    </w:p>
  </w:footnote>
  <w:footnote w:type="continuationSeparator" w:id="0">
    <w:p w:rsidR="005E04E9" w:rsidRDefault="005E04E9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AEE" w:rsidRDefault="00F15AEE">
    <w:pPr>
      <w:pStyle w:val="Encabezado"/>
    </w:pPr>
  </w:p>
  <w:p w:rsidR="002F34D5" w:rsidRDefault="002F34D5">
    <w:pPr>
      <w:pStyle w:val="Encabezado"/>
    </w:pPr>
  </w:p>
  <w:tbl>
    <w:tblPr>
      <w:tblStyle w:val="Tablaconcuadrcula"/>
      <w:tblW w:w="10632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632"/>
    </w:tblGrid>
    <w:tr w:rsidR="00F15AEE" w:rsidRPr="007D4E07" w:rsidTr="00276A09">
      <w:trPr>
        <w:trHeight w:val="575"/>
      </w:trPr>
      <w:tc>
        <w:tcPr>
          <w:tcW w:w="10632" w:type="dxa"/>
          <w:shd w:val="clear" w:color="auto" w:fill="000000" w:themeFill="text1"/>
          <w:vAlign w:val="center"/>
        </w:tcPr>
        <w:p w:rsidR="00F15AEE" w:rsidRPr="007D4E07" w:rsidRDefault="00F15AEE" w:rsidP="00E2694D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>
            <w:rPr>
              <w:noProof/>
              <w:lang w:eastAsia="es-MX"/>
            </w:rPr>
            <w:drawing>
              <wp:inline distT="0" distB="0" distL="0" distR="0" wp14:anchorId="66093F72" wp14:editId="0BD3DF4B">
                <wp:extent cx="572135" cy="147320"/>
                <wp:effectExtent l="0" t="0" r="0" b="5080"/>
                <wp:docPr id="10" name="Imagen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5AEE" w:rsidRPr="007D4E07" w:rsidTr="00417DD9">
      <w:trPr>
        <w:trHeight w:val="413"/>
      </w:trPr>
      <w:tc>
        <w:tcPr>
          <w:tcW w:w="10632" w:type="dxa"/>
          <w:shd w:val="clear" w:color="auto" w:fill="F2F2F2"/>
          <w:vAlign w:val="center"/>
        </w:tcPr>
        <w:p w:rsidR="00F15AEE" w:rsidRPr="007D4E07" w:rsidRDefault="00F15AEE" w:rsidP="00E2694D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15AEE" w:rsidRPr="00A714A5" w:rsidRDefault="00F15AEE" w:rsidP="00AC4088">
    <w:pPr>
      <w:pStyle w:val="Encabezado"/>
      <w:tabs>
        <w:tab w:val="clear" w:pos="4419"/>
        <w:tab w:val="clear" w:pos="8838"/>
        <w:tab w:val="left" w:pos="1325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4.25pt;height:14.2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222E"/>
    <w:rsid w:val="00013D04"/>
    <w:rsid w:val="000234B6"/>
    <w:rsid w:val="00026EEB"/>
    <w:rsid w:val="00027A1F"/>
    <w:rsid w:val="00030BDA"/>
    <w:rsid w:val="0003274E"/>
    <w:rsid w:val="00033D32"/>
    <w:rsid w:val="00033DC9"/>
    <w:rsid w:val="00035CF8"/>
    <w:rsid w:val="00037864"/>
    <w:rsid w:val="000403CD"/>
    <w:rsid w:val="00040EEC"/>
    <w:rsid w:val="00042424"/>
    <w:rsid w:val="000430A9"/>
    <w:rsid w:val="00046900"/>
    <w:rsid w:val="00053993"/>
    <w:rsid w:val="000578C9"/>
    <w:rsid w:val="00060CE3"/>
    <w:rsid w:val="00066A5C"/>
    <w:rsid w:val="00067137"/>
    <w:rsid w:val="00067877"/>
    <w:rsid w:val="00071D1A"/>
    <w:rsid w:val="00072F02"/>
    <w:rsid w:val="000757F2"/>
    <w:rsid w:val="0007661B"/>
    <w:rsid w:val="000770BD"/>
    <w:rsid w:val="0008274A"/>
    <w:rsid w:val="00084CC9"/>
    <w:rsid w:val="00090000"/>
    <w:rsid w:val="000A1814"/>
    <w:rsid w:val="000A28FA"/>
    <w:rsid w:val="000B0A35"/>
    <w:rsid w:val="000B0F56"/>
    <w:rsid w:val="000B0F8D"/>
    <w:rsid w:val="000B2258"/>
    <w:rsid w:val="000B5E54"/>
    <w:rsid w:val="000C4D5F"/>
    <w:rsid w:val="000C6298"/>
    <w:rsid w:val="000C7C7A"/>
    <w:rsid w:val="000D3F66"/>
    <w:rsid w:val="000D5A12"/>
    <w:rsid w:val="000E216F"/>
    <w:rsid w:val="000E3E3E"/>
    <w:rsid w:val="000E40BE"/>
    <w:rsid w:val="000E596D"/>
    <w:rsid w:val="000E63C0"/>
    <w:rsid w:val="000E7A50"/>
    <w:rsid w:val="000F1558"/>
    <w:rsid w:val="000F2E80"/>
    <w:rsid w:val="000F6B24"/>
    <w:rsid w:val="000F73B8"/>
    <w:rsid w:val="00105E1D"/>
    <w:rsid w:val="001218BD"/>
    <w:rsid w:val="00122AE3"/>
    <w:rsid w:val="001233E6"/>
    <w:rsid w:val="001247E5"/>
    <w:rsid w:val="00124CE6"/>
    <w:rsid w:val="00133FD2"/>
    <w:rsid w:val="00152D24"/>
    <w:rsid w:val="0015622B"/>
    <w:rsid w:val="00160897"/>
    <w:rsid w:val="00161D3F"/>
    <w:rsid w:val="00162519"/>
    <w:rsid w:val="00162F18"/>
    <w:rsid w:val="0016523E"/>
    <w:rsid w:val="00193688"/>
    <w:rsid w:val="00196B0D"/>
    <w:rsid w:val="001A6CF3"/>
    <w:rsid w:val="001B2EAD"/>
    <w:rsid w:val="001B3EC8"/>
    <w:rsid w:val="001C389C"/>
    <w:rsid w:val="001C6E16"/>
    <w:rsid w:val="001D2D9C"/>
    <w:rsid w:val="001E3BE6"/>
    <w:rsid w:val="001E4D3D"/>
    <w:rsid w:val="001F7515"/>
    <w:rsid w:val="00203C70"/>
    <w:rsid w:val="00212FF5"/>
    <w:rsid w:val="00213144"/>
    <w:rsid w:val="0021329A"/>
    <w:rsid w:val="002146FD"/>
    <w:rsid w:val="00215800"/>
    <w:rsid w:val="002166B0"/>
    <w:rsid w:val="00220072"/>
    <w:rsid w:val="00220E3E"/>
    <w:rsid w:val="00222702"/>
    <w:rsid w:val="002260B2"/>
    <w:rsid w:val="002268A2"/>
    <w:rsid w:val="00233CDF"/>
    <w:rsid w:val="0024087B"/>
    <w:rsid w:val="0024178D"/>
    <w:rsid w:val="00244E05"/>
    <w:rsid w:val="00250D75"/>
    <w:rsid w:val="002638BF"/>
    <w:rsid w:val="00266426"/>
    <w:rsid w:val="00266F9D"/>
    <w:rsid w:val="00267D6B"/>
    <w:rsid w:val="00273883"/>
    <w:rsid w:val="00276A09"/>
    <w:rsid w:val="00286225"/>
    <w:rsid w:val="00286682"/>
    <w:rsid w:val="00295176"/>
    <w:rsid w:val="002971B6"/>
    <w:rsid w:val="002A7860"/>
    <w:rsid w:val="002C3B1C"/>
    <w:rsid w:val="002D45D1"/>
    <w:rsid w:val="002D5986"/>
    <w:rsid w:val="002D7C9B"/>
    <w:rsid w:val="002E2CCE"/>
    <w:rsid w:val="002E3B17"/>
    <w:rsid w:val="002E6C71"/>
    <w:rsid w:val="002F34D5"/>
    <w:rsid w:val="00302500"/>
    <w:rsid w:val="0030413A"/>
    <w:rsid w:val="003043EE"/>
    <w:rsid w:val="00321294"/>
    <w:rsid w:val="003214D2"/>
    <w:rsid w:val="00332909"/>
    <w:rsid w:val="003333A0"/>
    <w:rsid w:val="0033530D"/>
    <w:rsid w:val="003378EB"/>
    <w:rsid w:val="00340EF4"/>
    <w:rsid w:val="003434D6"/>
    <w:rsid w:val="003450BB"/>
    <w:rsid w:val="00346956"/>
    <w:rsid w:val="00347F72"/>
    <w:rsid w:val="00351F42"/>
    <w:rsid w:val="00353558"/>
    <w:rsid w:val="003546DE"/>
    <w:rsid w:val="00355921"/>
    <w:rsid w:val="00356CBA"/>
    <w:rsid w:val="0035738F"/>
    <w:rsid w:val="00364A47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94133"/>
    <w:rsid w:val="003A1D94"/>
    <w:rsid w:val="003B4781"/>
    <w:rsid w:val="003B5052"/>
    <w:rsid w:val="003B5C55"/>
    <w:rsid w:val="003B6EF2"/>
    <w:rsid w:val="003B7DC1"/>
    <w:rsid w:val="003C6AEB"/>
    <w:rsid w:val="003D5EF7"/>
    <w:rsid w:val="003D74D8"/>
    <w:rsid w:val="003E431D"/>
    <w:rsid w:val="003E5C7E"/>
    <w:rsid w:val="003F1BAD"/>
    <w:rsid w:val="003F2A1A"/>
    <w:rsid w:val="003F3C1F"/>
    <w:rsid w:val="00400D37"/>
    <w:rsid w:val="00405208"/>
    <w:rsid w:val="00413EBA"/>
    <w:rsid w:val="0041411D"/>
    <w:rsid w:val="004173AA"/>
    <w:rsid w:val="00417DD9"/>
    <w:rsid w:val="004217C2"/>
    <w:rsid w:val="004238E9"/>
    <w:rsid w:val="00427E1A"/>
    <w:rsid w:val="0043115B"/>
    <w:rsid w:val="004345B4"/>
    <w:rsid w:val="004513F2"/>
    <w:rsid w:val="00453393"/>
    <w:rsid w:val="00466518"/>
    <w:rsid w:val="00472BCF"/>
    <w:rsid w:val="00481911"/>
    <w:rsid w:val="00483747"/>
    <w:rsid w:val="0048406B"/>
    <w:rsid w:val="00484BB2"/>
    <w:rsid w:val="00485865"/>
    <w:rsid w:val="0048782E"/>
    <w:rsid w:val="00490F89"/>
    <w:rsid w:val="00492506"/>
    <w:rsid w:val="004A7AB5"/>
    <w:rsid w:val="004B28BB"/>
    <w:rsid w:val="004B4E18"/>
    <w:rsid w:val="004B7553"/>
    <w:rsid w:val="004E4876"/>
    <w:rsid w:val="004E6A57"/>
    <w:rsid w:val="004E7FD4"/>
    <w:rsid w:val="00504630"/>
    <w:rsid w:val="00514472"/>
    <w:rsid w:val="00514F5D"/>
    <w:rsid w:val="00522F75"/>
    <w:rsid w:val="00523680"/>
    <w:rsid w:val="00530575"/>
    <w:rsid w:val="00533089"/>
    <w:rsid w:val="00542CC5"/>
    <w:rsid w:val="00552330"/>
    <w:rsid w:val="00560A91"/>
    <w:rsid w:val="00561EE1"/>
    <w:rsid w:val="00564BD8"/>
    <w:rsid w:val="005664BD"/>
    <w:rsid w:val="00567415"/>
    <w:rsid w:val="005700F8"/>
    <w:rsid w:val="00571EAE"/>
    <w:rsid w:val="005752E3"/>
    <w:rsid w:val="005757C3"/>
    <w:rsid w:val="005765B4"/>
    <w:rsid w:val="00583B43"/>
    <w:rsid w:val="005900CE"/>
    <w:rsid w:val="00590D15"/>
    <w:rsid w:val="005914A4"/>
    <w:rsid w:val="00594C70"/>
    <w:rsid w:val="005A1AC7"/>
    <w:rsid w:val="005A301F"/>
    <w:rsid w:val="005B0F70"/>
    <w:rsid w:val="005B1A36"/>
    <w:rsid w:val="005B729E"/>
    <w:rsid w:val="005C18F3"/>
    <w:rsid w:val="005C1B7C"/>
    <w:rsid w:val="005C20CF"/>
    <w:rsid w:val="005E04E9"/>
    <w:rsid w:val="005E4169"/>
    <w:rsid w:val="005E604B"/>
    <w:rsid w:val="005F0992"/>
    <w:rsid w:val="005F4600"/>
    <w:rsid w:val="005F6DB4"/>
    <w:rsid w:val="005F6EEB"/>
    <w:rsid w:val="00601311"/>
    <w:rsid w:val="00605B2B"/>
    <w:rsid w:val="006112E6"/>
    <w:rsid w:val="00624C8E"/>
    <w:rsid w:val="00640E86"/>
    <w:rsid w:val="00642583"/>
    <w:rsid w:val="00644203"/>
    <w:rsid w:val="00651018"/>
    <w:rsid w:val="00660B48"/>
    <w:rsid w:val="006628FC"/>
    <w:rsid w:val="00663F8B"/>
    <w:rsid w:val="006744E2"/>
    <w:rsid w:val="00675520"/>
    <w:rsid w:val="0068239F"/>
    <w:rsid w:val="00682D5D"/>
    <w:rsid w:val="0068439F"/>
    <w:rsid w:val="0068583D"/>
    <w:rsid w:val="00686147"/>
    <w:rsid w:val="006875AC"/>
    <w:rsid w:val="00692D8F"/>
    <w:rsid w:val="00696D61"/>
    <w:rsid w:val="006A3E41"/>
    <w:rsid w:val="006A445C"/>
    <w:rsid w:val="006A7FFE"/>
    <w:rsid w:val="006B26FA"/>
    <w:rsid w:val="006C1E63"/>
    <w:rsid w:val="006D765D"/>
    <w:rsid w:val="006D7A06"/>
    <w:rsid w:val="006F06A6"/>
    <w:rsid w:val="006F4286"/>
    <w:rsid w:val="006F76D6"/>
    <w:rsid w:val="00702CEB"/>
    <w:rsid w:val="0070303F"/>
    <w:rsid w:val="00704029"/>
    <w:rsid w:val="007047B3"/>
    <w:rsid w:val="00706026"/>
    <w:rsid w:val="00707F7C"/>
    <w:rsid w:val="00716BF1"/>
    <w:rsid w:val="00717023"/>
    <w:rsid w:val="00717729"/>
    <w:rsid w:val="00725CD0"/>
    <w:rsid w:val="00725FDF"/>
    <w:rsid w:val="007311D9"/>
    <w:rsid w:val="00733C5D"/>
    <w:rsid w:val="00736A29"/>
    <w:rsid w:val="00743C6B"/>
    <w:rsid w:val="00762D1F"/>
    <w:rsid w:val="00765376"/>
    <w:rsid w:val="00766069"/>
    <w:rsid w:val="00766108"/>
    <w:rsid w:val="00766169"/>
    <w:rsid w:val="00771E68"/>
    <w:rsid w:val="00772A52"/>
    <w:rsid w:val="0078144C"/>
    <w:rsid w:val="00781F44"/>
    <w:rsid w:val="00784C6F"/>
    <w:rsid w:val="00784CCF"/>
    <w:rsid w:val="00786532"/>
    <w:rsid w:val="00787F45"/>
    <w:rsid w:val="0079411C"/>
    <w:rsid w:val="0079544C"/>
    <w:rsid w:val="007A064F"/>
    <w:rsid w:val="007A3230"/>
    <w:rsid w:val="007A5086"/>
    <w:rsid w:val="007A78D7"/>
    <w:rsid w:val="007B4EB8"/>
    <w:rsid w:val="007C3174"/>
    <w:rsid w:val="007C32E6"/>
    <w:rsid w:val="007C366A"/>
    <w:rsid w:val="007C44A6"/>
    <w:rsid w:val="007C4B12"/>
    <w:rsid w:val="007C4FAC"/>
    <w:rsid w:val="007E1988"/>
    <w:rsid w:val="007E590E"/>
    <w:rsid w:val="007E5BBA"/>
    <w:rsid w:val="007E6230"/>
    <w:rsid w:val="007E6F60"/>
    <w:rsid w:val="007E7C5D"/>
    <w:rsid w:val="007F3159"/>
    <w:rsid w:val="007F481A"/>
    <w:rsid w:val="008049E4"/>
    <w:rsid w:val="00806D96"/>
    <w:rsid w:val="008144C3"/>
    <w:rsid w:val="0081682C"/>
    <w:rsid w:val="00822BC1"/>
    <w:rsid w:val="00823059"/>
    <w:rsid w:val="00825BAE"/>
    <w:rsid w:val="00825BF1"/>
    <w:rsid w:val="008365AD"/>
    <w:rsid w:val="00837B90"/>
    <w:rsid w:val="00841313"/>
    <w:rsid w:val="0084212D"/>
    <w:rsid w:val="00844946"/>
    <w:rsid w:val="00844EDC"/>
    <w:rsid w:val="00845CE9"/>
    <w:rsid w:val="0085027E"/>
    <w:rsid w:val="008537FE"/>
    <w:rsid w:val="008565C5"/>
    <w:rsid w:val="008569AE"/>
    <w:rsid w:val="008656D2"/>
    <w:rsid w:val="008707A5"/>
    <w:rsid w:val="00871A92"/>
    <w:rsid w:val="00873617"/>
    <w:rsid w:val="00873CBE"/>
    <w:rsid w:val="00876719"/>
    <w:rsid w:val="00877943"/>
    <w:rsid w:val="00877AF6"/>
    <w:rsid w:val="008819B9"/>
    <w:rsid w:val="00882869"/>
    <w:rsid w:val="00894B96"/>
    <w:rsid w:val="008956E1"/>
    <w:rsid w:val="00895CCC"/>
    <w:rsid w:val="008A20B9"/>
    <w:rsid w:val="008A667A"/>
    <w:rsid w:val="008B257A"/>
    <w:rsid w:val="008B7BA1"/>
    <w:rsid w:val="008C2AF7"/>
    <w:rsid w:val="008C352E"/>
    <w:rsid w:val="008C68FC"/>
    <w:rsid w:val="008D1592"/>
    <w:rsid w:val="008D3EC4"/>
    <w:rsid w:val="008D72F8"/>
    <w:rsid w:val="008D73D0"/>
    <w:rsid w:val="008E675D"/>
    <w:rsid w:val="008E6BE0"/>
    <w:rsid w:val="008F2419"/>
    <w:rsid w:val="008F3BA1"/>
    <w:rsid w:val="008F5DFC"/>
    <w:rsid w:val="009039BC"/>
    <w:rsid w:val="00904647"/>
    <w:rsid w:val="0090522F"/>
    <w:rsid w:val="00906B32"/>
    <w:rsid w:val="00911583"/>
    <w:rsid w:val="0091192B"/>
    <w:rsid w:val="00914CD1"/>
    <w:rsid w:val="00914CE0"/>
    <w:rsid w:val="0092462C"/>
    <w:rsid w:val="00925925"/>
    <w:rsid w:val="00931243"/>
    <w:rsid w:val="00933DBA"/>
    <w:rsid w:val="00934DE8"/>
    <w:rsid w:val="00935577"/>
    <w:rsid w:val="009375A7"/>
    <w:rsid w:val="00946CE2"/>
    <w:rsid w:val="00950627"/>
    <w:rsid w:val="00960D83"/>
    <w:rsid w:val="00963EF1"/>
    <w:rsid w:val="00983D28"/>
    <w:rsid w:val="00986408"/>
    <w:rsid w:val="00987E15"/>
    <w:rsid w:val="009A4E13"/>
    <w:rsid w:val="009A6956"/>
    <w:rsid w:val="009A7319"/>
    <w:rsid w:val="009A7E59"/>
    <w:rsid w:val="009B177E"/>
    <w:rsid w:val="009B1D21"/>
    <w:rsid w:val="009B4875"/>
    <w:rsid w:val="009C0E11"/>
    <w:rsid w:val="009D2E3F"/>
    <w:rsid w:val="009D7BBD"/>
    <w:rsid w:val="009E3006"/>
    <w:rsid w:val="009F5FE8"/>
    <w:rsid w:val="00A05D9C"/>
    <w:rsid w:val="00A11F4E"/>
    <w:rsid w:val="00A13643"/>
    <w:rsid w:val="00A20A98"/>
    <w:rsid w:val="00A36E61"/>
    <w:rsid w:val="00A533B6"/>
    <w:rsid w:val="00A560CF"/>
    <w:rsid w:val="00A60322"/>
    <w:rsid w:val="00A63C9B"/>
    <w:rsid w:val="00A6652B"/>
    <w:rsid w:val="00A665DD"/>
    <w:rsid w:val="00A714A5"/>
    <w:rsid w:val="00A809CE"/>
    <w:rsid w:val="00A83285"/>
    <w:rsid w:val="00A83668"/>
    <w:rsid w:val="00A912F4"/>
    <w:rsid w:val="00A932D6"/>
    <w:rsid w:val="00AA078B"/>
    <w:rsid w:val="00AA272C"/>
    <w:rsid w:val="00AC4088"/>
    <w:rsid w:val="00AE0390"/>
    <w:rsid w:val="00AE5899"/>
    <w:rsid w:val="00AE5DC0"/>
    <w:rsid w:val="00AF53B2"/>
    <w:rsid w:val="00AF53C2"/>
    <w:rsid w:val="00AF5DE5"/>
    <w:rsid w:val="00AF74C6"/>
    <w:rsid w:val="00AF784F"/>
    <w:rsid w:val="00B002E0"/>
    <w:rsid w:val="00B02851"/>
    <w:rsid w:val="00B24BB2"/>
    <w:rsid w:val="00B26C28"/>
    <w:rsid w:val="00B27FC3"/>
    <w:rsid w:val="00B31301"/>
    <w:rsid w:val="00B3158F"/>
    <w:rsid w:val="00B3305C"/>
    <w:rsid w:val="00B330F0"/>
    <w:rsid w:val="00B35A7C"/>
    <w:rsid w:val="00B35BD2"/>
    <w:rsid w:val="00B439D9"/>
    <w:rsid w:val="00B478E7"/>
    <w:rsid w:val="00B47F12"/>
    <w:rsid w:val="00B52AB7"/>
    <w:rsid w:val="00B532D4"/>
    <w:rsid w:val="00B55B79"/>
    <w:rsid w:val="00B5773F"/>
    <w:rsid w:val="00B606E6"/>
    <w:rsid w:val="00B60E0A"/>
    <w:rsid w:val="00B60E14"/>
    <w:rsid w:val="00B62D05"/>
    <w:rsid w:val="00B636AD"/>
    <w:rsid w:val="00B67701"/>
    <w:rsid w:val="00B7399A"/>
    <w:rsid w:val="00B74631"/>
    <w:rsid w:val="00B75B67"/>
    <w:rsid w:val="00B8028B"/>
    <w:rsid w:val="00B84714"/>
    <w:rsid w:val="00B854F5"/>
    <w:rsid w:val="00B86BB2"/>
    <w:rsid w:val="00B9276F"/>
    <w:rsid w:val="00B9615A"/>
    <w:rsid w:val="00B966AA"/>
    <w:rsid w:val="00B97484"/>
    <w:rsid w:val="00BA07A5"/>
    <w:rsid w:val="00BA2D0A"/>
    <w:rsid w:val="00BA5948"/>
    <w:rsid w:val="00BC6DDE"/>
    <w:rsid w:val="00BE0CB8"/>
    <w:rsid w:val="00BE77D3"/>
    <w:rsid w:val="00BF3568"/>
    <w:rsid w:val="00C00A22"/>
    <w:rsid w:val="00C0307E"/>
    <w:rsid w:val="00C07C76"/>
    <w:rsid w:val="00C07D39"/>
    <w:rsid w:val="00C14143"/>
    <w:rsid w:val="00C144DF"/>
    <w:rsid w:val="00C14D0C"/>
    <w:rsid w:val="00C15514"/>
    <w:rsid w:val="00C171FE"/>
    <w:rsid w:val="00C21473"/>
    <w:rsid w:val="00C244AC"/>
    <w:rsid w:val="00C250CB"/>
    <w:rsid w:val="00C258A2"/>
    <w:rsid w:val="00C26432"/>
    <w:rsid w:val="00C34516"/>
    <w:rsid w:val="00C34D20"/>
    <w:rsid w:val="00C40B3F"/>
    <w:rsid w:val="00C443DE"/>
    <w:rsid w:val="00C47083"/>
    <w:rsid w:val="00C51189"/>
    <w:rsid w:val="00C5293E"/>
    <w:rsid w:val="00C67EF3"/>
    <w:rsid w:val="00C70B41"/>
    <w:rsid w:val="00C73BD1"/>
    <w:rsid w:val="00C7670B"/>
    <w:rsid w:val="00C76A5F"/>
    <w:rsid w:val="00C81255"/>
    <w:rsid w:val="00C87A65"/>
    <w:rsid w:val="00C94E4F"/>
    <w:rsid w:val="00C970D4"/>
    <w:rsid w:val="00C97E56"/>
    <w:rsid w:val="00C97F1A"/>
    <w:rsid w:val="00CA473C"/>
    <w:rsid w:val="00CB1850"/>
    <w:rsid w:val="00CB3B59"/>
    <w:rsid w:val="00CB407E"/>
    <w:rsid w:val="00CC37EB"/>
    <w:rsid w:val="00CC48B7"/>
    <w:rsid w:val="00CD70D3"/>
    <w:rsid w:val="00CD77E2"/>
    <w:rsid w:val="00CE14B2"/>
    <w:rsid w:val="00CE51A9"/>
    <w:rsid w:val="00CE65B9"/>
    <w:rsid w:val="00CF03AA"/>
    <w:rsid w:val="00D16316"/>
    <w:rsid w:val="00D248A5"/>
    <w:rsid w:val="00D264CE"/>
    <w:rsid w:val="00D2725C"/>
    <w:rsid w:val="00D303D7"/>
    <w:rsid w:val="00D33DF8"/>
    <w:rsid w:val="00D34F3F"/>
    <w:rsid w:val="00D35CC8"/>
    <w:rsid w:val="00D52D5A"/>
    <w:rsid w:val="00D62B85"/>
    <w:rsid w:val="00D657C2"/>
    <w:rsid w:val="00D678CE"/>
    <w:rsid w:val="00D7492B"/>
    <w:rsid w:val="00D75208"/>
    <w:rsid w:val="00D76103"/>
    <w:rsid w:val="00D80576"/>
    <w:rsid w:val="00D82088"/>
    <w:rsid w:val="00D84B6E"/>
    <w:rsid w:val="00D86B33"/>
    <w:rsid w:val="00D95D9D"/>
    <w:rsid w:val="00DA2BA4"/>
    <w:rsid w:val="00DA3B54"/>
    <w:rsid w:val="00DA7961"/>
    <w:rsid w:val="00DB0991"/>
    <w:rsid w:val="00DB1A2B"/>
    <w:rsid w:val="00DB1CF0"/>
    <w:rsid w:val="00DB3D5D"/>
    <w:rsid w:val="00DB5AAB"/>
    <w:rsid w:val="00DB6D56"/>
    <w:rsid w:val="00DB7107"/>
    <w:rsid w:val="00DC69BB"/>
    <w:rsid w:val="00DD434E"/>
    <w:rsid w:val="00DE662C"/>
    <w:rsid w:val="00DF33AE"/>
    <w:rsid w:val="00DF4378"/>
    <w:rsid w:val="00E00FA2"/>
    <w:rsid w:val="00E031B8"/>
    <w:rsid w:val="00E10E98"/>
    <w:rsid w:val="00E1680A"/>
    <w:rsid w:val="00E17280"/>
    <w:rsid w:val="00E2694D"/>
    <w:rsid w:val="00E31E9C"/>
    <w:rsid w:val="00E453C8"/>
    <w:rsid w:val="00E518E1"/>
    <w:rsid w:val="00E53AE6"/>
    <w:rsid w:val="00E65322"/>
    <w:rsid w:val="00E65719"/>
    <w:rsid w:val="00E71EFE"/>
    <w:rsid w:val="00E73D76"/>
    <w:rsid w:val="00E751DE"/>
    <w:rsid w:val="00E75C47"/>
    <w:rsid w:val="00E76380"/>
    <w:rsid w:val="00E76B31"/>
    <w:rsid w:val="00E92727"/>
    <w:rsid w:val="00E92747"/>
    <w:rsid w:val="00E958EF"/>
    <w:rsid w:val="00E96926"/>
    <w:rsid w:val="00EA77D9"/>
    <w:rsid w:val="00EB7270"/>
    <w:rsid w:val="00EC120D"/>
    <w:rsid w:val="00ED2C74"/>
    <w:rsid w:val="00ED5FEA"/>
    <w:rsid w:val="00ED7BF6"/>
    <w:rsid w:val="00EE0AF3"/>
    <w:rsid w:val="00EE0FD0"/>
    <w:rsid w:val="00EE7A4B"/>
    <w:rsid w:val="00EE7C05"/>
    <w:rsid w:val="00EF3D9F"/>
    <w:rsid w:val="00EF5BCF"/>
    <w:rsid w:val="00F0030B"/>
    <w:rsid w:val="00F05F19"/>
    <w:rsid w:val="00F05F58"/>
    <w:rsid w:val="00F0668C"/>
    <w:rsid w:val="00F10FD1"/>
    <w:rsid w:val="00F113F6"/>
    <w:rsid w:val="00F121BF"/>
    <w:rsid w:val="00F12E98"/>
    <w:rsid w:val="00F1513D"/>
    <w:rsid w:val="00F15AEE"/>
    <w:rsid w:val="00F178FE"/>
    <w:rsid w:val="00F17C3E"/>
    <w:rsid w:val="00F25CCE"/>
    <w:rsid w:val="00F37786"/>
    <w:rsid w:val="00F47BEA"/>
    <w:rsid w:val="00F50429"/>
    <w:rsid w:val="00F55492"/>
    <w:rsid w:val="00F55EA1"/>
    <w:rsid w:val="00F74722"/>
    <w:rsid w:val="00F74C4F"/>
    <w:rsid w:val="00F771ED"/>
    <w:rsid w:val="00F82B7F"/>
    <w:rsid w:val="00F85BD8"/>
    <w:rsid w:val="00F90036"/>
    <w:rsid w:val="00F915D4"/>
    <w:rsid w:val="00F96A8C"/>
    <w:rsid w:val="00FA19C7"/>
    <w:rsid w:val="00FB0479"/>
    <w:rsid w:val="00FB0C1E"/>
    <w:rsid w:val="00FC4FA9"/>
    <w:rsid w:val="00FD739A"/>
    <w:rsid w:val="00FE0934"/>
    <w:rsid w:val="00FE2136"/>
    <w:rsid w:val="00FE4E3A"/>
    <w:rsid w:val="00FE51BF"/>
    <w:rsid w:val="00FE595C"/>
    <w:rsid w:val="00FE6D38"/>
    <w:rsid w:val="00FE7F00"/>
    <w:rsid w:val="00FF1032"/>
    <w:rsid w:val="00FF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893B-C21B-424D-A39C-639F6609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4</cp:revision>
  <cp:lastPrinted>2023-06-02T03:06:00Z</cp:lastPrinted>
  <dcterms:created xsi:type="dcterms:W3CDTF">2023-06-02T02:39:00Z</dcterms:created>
  <dcterms:modified xsi:type="dcterms:W3CDTF">2023-06-02T03:06:00Z</dcterms:modified>
</cp:coreProperties>
</file>